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Tracey Radler — Performance Report</w:t>
      </w:r>
    </w:p>
    <w:p>
      <w:r>
        <w:rPr>
          <w:i/>
        </w:rPr>
        <w:t>All time · 10165 analyzed calls · generated 2026-05-26 21:29</w:t>
      </w:r>
    </w:p>
    <w:p>
      <w:pPr>
        <w:pStyle w:val="Heading1"/>
      </w:pPr>
      <w:r>
        <w:t>Overview</w:t>
      </w:r>
    </w:p>
    <w:p>
      <w:r>
        <w:t>Tracey Radler handled 10,165 analyzed calls from 2023-07-03 to 2026-05-24. Average customer sentiment was 0.53 (on a -1 to +1 scale), with an average call duration of 10 min 34 sec. Conversion proxy (booked + ready-to-book + rebooking ÷ total) is 54%, and the share of calls where the customer's mood improved during the call is 0%. Direction mix: inbound 2,566 / outbound 7,599.</w:t>
      </w:r>
    </w:p>
    <w:p>
      <w:r>
        <w:rPr>
          <w:b/>
        </w:rPr>
        <w:t xml:space="preserve">Top destinations handled: </w:t>
      </w:r>
      <w:r>
        <w:t>Miami (606), Florida (495), London (480), Amsterdam (419), Venice (404), Rome (390)</w:t>
      </w:r>
    </w:p>
    <w:p>
      <w:r>
        <w:rPr>
          <w:b/>
        </w:rPr>
        <w:t xml:space="preserve">Top cruise lines handled: </w:t>
      </w:r>
      <w:r>
        <w:t>Viking (1174), Viking River Cruises (732), Celebrity (529), Silversea (483), Celebrity Cruises (441), Regent (407)</w:t>
      </w:r>
    </w:p>
    <w:p>
      <w:pPr>
        <w:pStyle w:val="Heading1"/>
      </w:pPr>
      <w:r>
        <w:t>Calls by Intent</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Intent</w:t>
            </w:r>
          </w:p>
        </w:tc>
        <w:tc>
          <w:tcPr>
            <w:tcW w:type="dxa" w:w="2880"/>
          </w:tcPr>
          <w:p>
            <w:r>
              <w:rPr>
                <w:b/>
              </w:rPr>
              <w:t>Calls</w:t>
            </w:r>
          </w:p>
        </w:tc>
        <w:tc>
          <w:tcPr>
            <w:tcW w:type="dxa" w:w="2880"/>
          </w:tcPr>
          <w:p>
            <w:r>
              <w:rPr>
                <w:b/>
              </w:rPr>
              <w:t>Share</w:t>
            </w:r>
          </w:p>
        </w:tc>
      </w:tr>
      <w:tr>
        <w:tc>
          <w:tcPr>
            <w:tcW w:type="dxa" w:w="2880"/>
          </w:tcPr>
          <w:p>
            <w:r>
              <w:t>Support</w:t>
            </w:r>
          </w:p>
        </w:tc>
        <w:tc>
          <w:tcPr>
            <w:tcW w:type="dxa" w:w="2880"/>
          </w:tcPr>
          <w:p>
            <w:r>
              <w:t>2,660</w:t>
            </w:r>
          </w:p>
        </w:tc>
        <w:tc>
          <w:tcPr>
            <w:tcW w:type="dxa" w:w="2880"/>
          </w:tcPr>
          <w:p>
            <w:r>
              <w:t>26.2%</w:t>
            </w:r>
          </w:p>
        </w:tc>
      </w:tr>
      <w:tr>
        <w:tc>
          <w:tcPr>
            <w:tcW w:type="dxa" w:w="2880"/>
          </w:tcPr>
          <w:p>
            <w:r>
              <w:t>Ready to Book</w:t>
            </w:r>
          </w:p>
        </w:tc>
        <w:tc>
          <w:tcPr>
            <w:tcW w:type="dxa" w:w="2880"/>
          </w:tcPr>
          <w:p>
            <w:r>
              <w:t>2,181</w:t>
            </w:r>
          </w:p>
        </w:tc>
        <w:tc>
          <w:tcPr>
            <w:tcW w:type="dxa" w:w="2880"/>
          </w:tcPr>
          <w:p>
            <w:r>
              <w:t>21.5%</w:t>
            </w:r>
          </w:p>
        </w:tc>
      </w:tr>
      <w:tr>
        <w:tc>
          <w:tcPr>
            <w:tcW w:type="dxa" w:w="2880"/>
          </w:tcPr>
          <w:p>
            <w:r>
              <w:t>Rebooking</w:t>
            </w:r>
          </w:p>
        </w:tc>
        <w:tc>
          <w:tcPr>
            <w:tcW w:type="dxa" w:w="2880"/>
          </w:tcPr>
          <w:p>
            <w:r>
              <w:t>1,689</w:t>
            </w:r>
          </w:p>
        </w:tc>
        <w:tc>
          <w:tcPr>
            <w:tcW w:type="dxa" w:w="2880"/>
          </w:tcPr>
          <w:p>
            <w:r>
              <w:t>16.6%</w:t>
            </w:r>
          </w:p>
        </w:tc>
      </w:tr>
      <w:tr>
        <w:tc>
          <w:tcPr>
            <w:tcW w:type="dxa" w:w="2880"/>
          </w:tcPr>
          <w:p>
            <w:r>
              <w:t>Booked</w:t>
            </w:r>
          </w:p>
        </w:tc>
        <w:tc>
          <w:tcPr>
            <w:tcW w:type="dxa" w:w="2880"/>
          </w:tcPr>
          <w:p>
            <w:r>
              <w:t>1,654</w:t>
            </w:r>
          </w:p>
        </w:tc>
        <w:tc>
          <w:tcPr>
            <w:tcW w:type="dxa" w:w="2880"/>
          </w:tcPr>
          <w:p>
            <w:r>
              <w:t>16.3%</w:t>
            </w:r>
          </w:p>
        </w:tc>
      </w:tr>
      <w:tr>
        <w:tc>
          <w:tcPr>
            <w:tcW w:type="dxa" w:w="2880"/>
          </w:tcPr>
          <w:p>
            <w:r>
              <w:t>Researching</w:t>
            </w:r>
          </w:p>
        </w:tc>
        <w:tc>
          <w:tcPr>
            <w:tcW w:type="dxa" w:w="2880"/>
          </w:tcPr>
          <w:p>
            <w:r>
              <w:t>1,304</w:t>
            </w:r>
          </w:p>
        </w:tc>
        <w:tc>
          <w:tcPr>
            <w:tcW w:type="dxa" w:w="2880"/>
          </w:tcPr>
          <w:p>
            <w:r>
              <w:t>12.8%</w:t>
            </w:r>
          </w:p>
        </w:tc>
      </w:tr>
      <w:tr>
        <w:tc>
          <w:tcPr>
            <w:tcW w:type="dxa" w:w="2880"/>
          </w:tcPr>
          <w:p>
            <w:r>
              <w:t>Other</w:t>
            </w:r>
          </w:p>
        </w:tc>
        <w:tc>
          <w:tcPr>
            <w:tcW w:type="dxa" w:w="2880"/>
          </w:tcPr>
          <w:p>
            <w:r>
              <w:t>463</w:t>
            </w:r>
          </w:p>
        </w:tc>
        <w:tc>
          <w:tcPr>
            <w:tcW w:type="dxa" w:w="2880"/>
          </w:tcPr>
          <w:p>
            <w:r>
              <w:t>4.6%</w:t>
            </w:r>
          </w:p>
        </w:tc>
      </w:tr>
      <w:tr>
        <w:tc>
          <w:tcPr>
            <w:tcW w:type="dxa" w:w="2880"/>
          </w:tcPr>
          <w:p>
            <w:r>
              <w:t>Post-Trip</w:t>
            </w:r>
          </w:p>
        </w:tc>
        <w:tc>
          <w:tcPr>
            <w:tcW w:type="dxa" w:w="2880"/>
          </w:tcPr>
          <w:p>
            <w:r>
              <w:t>117</w:t>
            </w:r>
          </w:p>
        </w:tc>
        <w:tc>
          <w:tcPr>
            <w:tcW w:type="dxa" w:w="2880"/>
          </w:tcPr>
          <w:p>
            <w:r>
              <w:t>1.2%</w:t>
            </w:r>
          </w:p>
        </w:tc>
      </w:tr>
      <w:tr>
        <w:tc>
          <w:tcPr>
            <w:tcW w:type="dxa" w:w="2880"/>
          </w:tcPr>
          <w:p>
            <w:r>
              <w:t>Complaint</w:t>
            </w:r>
          </w:p>
        </w:tc>
        <w:tc>
          <w:tcPr>
            <w:tcW w:type="dxa" w:w="2880"/>
          </w:tcPr>
          <w:p>
            <w:r>
              <w:t>87</w:t>
            </w:r>
          </w:p>
        </w:tc>
        <w:tc>
          <w:tcPr>
            <w:tcW w:type="dxa" w:w="2880"/>
          </w:tcPr>
          <w:p>
            <w:r>
              <w:t>0.9%</w:t>
            </w:r>
          </w:p>
        </w:tc>
      </w:tr>
      <w:tr>
        <w:tc>
          <w:tcPr>
            <w:tcW w:type="dxa" w:w="2880"/>
          </w:tcPr>
          <w:p>
            <w:r>
              <w:t>comparison_shopping</w:t>
            </w:r>
          </w:p>
        </w:tc>
        <w:tc>
          <w:tcPr>
            <w:tcW w:type="dxa" w:w="2880"/>
          </w:tcPr>
          <w:p>
            <w:r>
              <w:t>4</w:t>
            </w:r>
          </w:p>
        </w:tc>
        <w:tc>
          <w:tcPr>
            <w:tcW w:type="dxa" w:w="2880"/>
          </w:tcPr>
          <w:p>
            <w:r>
              <w:t>0.0%</w:t>
            </w:r>
          </w:p>
        </w:tc>
      </w:tr>
      <w:tr>
        <w:tc>
          <w:tcPr>
            <w:tcW w:type="dxa" w:w="2880"/>
          </w:tcPr>
          <w:p>
            <w:r>
              <w:t>referral</w:t>
            </w:r>
          </w:p>
        </w:tc>
        <w:tc>
          <w:tcPr>
            <w:tcW w:type="dxa" w:w="2880"/>
          </w:tcPr>
          <w:p>
            <w:r>
              <w:t>3</w:t>
            </w:r>
          </w:p>
        </w:tc>
        <w:tc>
          <w:tcPr>
            <w:tcW w:type="dxa" w:w="2880"/>
          </w:tcPr>
          <w:p>
            <w:r>
              <w:t>0.0%</w:t>
            </w:r>
          </w:p>
        </w:tc>
      </w:tr>
      <w:tr>
        <w:tc>
          <w:tcPr>
            <w:tcW w:type="dxa" w:w="2880"/>
          </w:tcPr>
          <w:p>
            <w:r>
              <w:t>pre_trip</w:t>
            </w:r>
          </w:p>
        </w:tc>
        <w:tc>
          <w:tcPr>
            <w:tcW w:type="dxa" w:w="2880"/>
          </w:tcPr>
          <w:p>
            <w:r>
              <w:t>1</w:t>
            </w:r>
          </w:p>
        </w:tc>
        <w:tc>
          <w:tcPr>
            <w:tcW w:type="dxa" w:w="2880"/>
          </w:tcPr>
          <w:p>
            <w:r>
              <w:t>0.0%</w:t>
            </w:r>
          </w:p>
        </w:tc>
      </w:tr>
      <w:tr>
        <w:tc>
          <w:tcPr>
            <w:tcW w:type="dxa" w:w="2880"/>
          </w:tcPr>
          <w:p>
            <w:r>
              <w:t>comparison-shopping</w:t>
            </w:r>
          </w:p>
        </w:tc>
        <w:tc>
          <w:tcPr>
            <w:tcW w:type="dxa" w:w="2880"/>
          </w:tcPr>
          <w:p>
            <w:r>
              <w:t>1</w:t>
            </w:r>
          </w:p>
        </w:tc>
        <w:tc>
          <w:tcPr>
            <w:tcW w:type="dxa" w:w="2880"/>
          </w:tcPr>
          <w:p>
            <w:r>
              <w:t>0.0%</w:t>
            </w:r>
          </w:p>
        </w:tc>
      </w:tr>
      <w:tr>
        <w:tc>
          <w:tcPr>
            <w:tcW w:type="dxa" w:w="2880"/>
          </w:tcPr>
          <w:p>
            <w:r>
              <w:t>unknown</w:t>
            </w:r>
          </w:p>
        </w:tc>
        <w:tc>
          <w:tcPr>
            <w:tcW w:type="dxa" w:w="2880"/>
          </w:tcPr>
          <w:p>
            <w:r>
              <w:t>1</w:t>
            </w:r>
          </w:p>
        </w:tc>
        <w:tc>
          <w:tcPr>
            <w:tcW w:type="dxa" w:w="2880"/>
          </w:tcPr>
          <w:p>
            <w:r>
              <w:t>0.0%</w:t>
            </w:r>
          </w:p>
        </w:tc>
      </w:tr>
    </w:tbl>
    <w:p>
      <w:pPr>
        <w:pStyle w:val="Heading1"/>
      </w:pPr>
      <w:r>
        <w:t>Calls by Sentiment</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Sentiment Label</w:t>
            </w:r>
          </w:p>
        </w:tc>
        <w:tc>
          <w:tcPr>
            <w:tcW w:type="dxa" w:w="2880"/>
          </w:tcPr>
          <w:p>
            <w:r>
              <w:rPr>
                <w:b/>
              </w:rPr>
              <w:t>Calls</w:t>
            </w:r>
          </w:p>
        </w:tc>
        <w:tc>
          <w:tcPr>
            <w:tcW w:type="dxa" w:w="2880"/>
          </w:tcPr>
          <w:p>
            <w:r>
              <w:rPr>
                <w:b/>
              </w:rPr>
              <w:t>Share</w:t>
            </w:r>
          </w:p>
        </w:tc>
      </w:tr>
      <w:tr>
        <w:tc>
          <w:tcPr>
            <w:tcW w:type="dxa" w:w="2880"/>
          </w:tcPr>
          <w:p>
            <w:r>
              <w:t>Positive</w:t>
            </w:r>
          </w:p>
        </w:tc>
        <w:tc>
          <w:tcPr>
            <w:tcW w:type="dxa" w:w="2880"/>
          </w:tcPr>
          <w:p>
            <w:r>
              <w:t>7,345</w:t>
            </w:r>
          </w:p>
        </w:tc>
        <w:tc>
          <w:tcPr>
            <w:tcW w:type="dxa" w:w="2880"/>
          </w:tcPr>
          <w:p>
            <w:r>
              <w:t>72.3%</w:t>
            </w:r>
          </w:p>
        </w:tc>
      </w:tr>
      <w:tr>
        <w:tc>
          <w:tcPr>
            <w:tcW w:type="dxa" w:w="2880"/>
          </w:tcPr>
          <w:p>
            <w:r>
              <w:t>Neutral</w:t>
            </w:r>
          </w:p>
        </w:tc>
        <w:tc>
          <w:tcPr>
            <w:tcW w:type="dxa" w:w="2880"/>
          </w:tcPr>
          <w:p>
            <w:r>
              <w:t>1,826</w:t>
            </w:r>
          </w:p>
        </w:tc>
        <w:tc>
          <w:tcPr>
            <w:tcW w:type="dxa" w:w="2880"/>
          </w:tcPr>
          <w:p>
            <w:r>
              <w:t>18.0%</w:t>
            </w:r>
          </w:p>
        </w:tc>
      </w:tr>
      <w:tr>
        <w:tc>
          <w:tcPr>
            <w:tcW w:type="dxa" w:w="2880"/>
          </w:tcPr>
          <w:p>
            <w:r>
              <w:t>Negative</w:t>
            </w:r>
          </w:p>
        </w:tc>
        <w:tc>
          <w:tcPr>
            <w:tcW w:type="dxa" w:w="2880"/>
          </w:tcPr>
          <w:p>
            <w:r>
              <w:t>489</w:t>
            </w:r>
          </w:p>
        </w:tc>
        <w:tc>
          <w:tcPr>
            <w:tcW w:type="dxa" w:w="2880"/>
          </w:tcPr>
          <w:p>
            <w:r>
              <w:t>4.8%</w:t>
            </w:r>
          </w:p>
        </w:tc>
      </w:tr>
      <w:tr>
        <w:tc>
          <w:tcPr>
            <w:tcW w:type="dxa" w:w="2880"/>
          </w:tcPr>
          <w:p>
            <w:r>
              <w:t>Very Positive</w:t>
            </w:r>
          </w:p>
        </w:tc>
        <w:tc>
          <w:tcPr>
            <w:tcW w:type="dxa" w:w="2880"/>
          </w:tcPr>
          <w:p>
            <w:r>
              <w:t>478</w:t>
            </w:r>
          </w:p>
        </w:tc>
        <w:tc>
          <w:tcPr>
            <w:tcW w:type="dxa" w:w="2880"/>
          </w:tcPr>
          <w:p>
            <w:r>
              <w:t>4.7%</w:t>
            </w:r>
          </w:p>
        </w:tc>
      </w:tr>
      <w:tr>
        <w:tc>
          <w:tcPr>
            <w:tcW w:type="dxa" w:w="2880"/>
          </w:tcPr>
          <w:p>
            <w:r>
              <w:t>Very Negative</w:t>
            </w:r>
          </w:p>
        </w:tc>
        <w:tc>
          <w:tcPr>
            <w:tcW w:type="dxa" w:w="2880"/>
          </w:tcPr>
          <w:p>
            <w:r>
              <w:t>22</w:t>
            </w:r>
          </w:p>
        </w:tc>
        <w:tc>
          <w:tcPr>
            <w:tcW w:type="dxa" w:w="2880"/>
          </w:tcPr>
          <w:p>
            <w:r>
              <w:t>0.2%</w:t>
            </w:r>
          </w:p>
        </w:tc>
      </w:tr>
      <w:tr>
        <w:tc>
          <w:tcPr>
            <w:tcW w:type="dxa" w:w="2880"/>
          </w:tcPr>
          <w:p>
            <w:r>
              <w:t>mixed</w:t>
            </w:r>
          </w:p>
        </w:tc>
        <w:tc>
          <w:tcPr>
            <w:tcW w:type="dxa" w:w="2880"/>
          </w:tcPr>
          <w:p>
            <w:r>
              <w:t>5</w:t>
            </w:r>
          </w:p>
        </w:tc>
        <w:tc>
          <w:tcPr>
            <w:tcW w:type="dxa" w:w="2880"/>
          </w:tcPr>
          <w:p>
            <w:r>
              <w:t>0.0%</w:t>
            </w:r>
          </w:p>
        </w:tc>
      </w:tr>
    </w:tbl>
    <w:p>
      <w:r>
        <w:rPr>
          <w:b/>
        </w:rPr>
        <w:t xml:space="preserve">Numeric average sentiment: </w:t>
      </w:r>
      <w:r>
        <w:rPr>
          <w:i w:val="0"/>
        </w:rPr>
        <w:t xml:space="preserve">0.53    </w:t>
      </w:r>
      <w:r>
        <w:rPr>
          <w:i/>
        </w:rPr>
        <w:t>(team average: 0.39)</w:t>
      </w:r>
    </w:p>
    <w:p>
      <w:pPr>
        <w:pStyle w:val="Heading1"/>
      </w:pPr>
      <w:r>
        <w:t>Calls Trajectory</w:t>
      </w:r>
    </w:p>
    <w:p>
      <w:r>
        <w:t>Trajectory captures whether the customer's emotional state improved, declined, or held steady during each call. A high 'improving' share indicates the planner is moving customers toward a better state.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Trajectory</w:t>
            </w:r>
          </w:p>
        </w:tc>
        <w:tc>
          <w:tcPr>
            <w:tcW w:type="dxa" w:w="2880"/>
          </w:tcPr>
          <w:p>
            <w:r>
              <w:rPr>
                <w:b/>
              </w:rPr>
              <w:t>Calls</w:t>
            </w:r>
          </w:p>
        </w:tc>
        <w:tc>
          <w:tcPr>
            <w:tcW w:type="dxa" w:w="2880"/>
          </w:tcPr>
          <w:p>
            <w:r>
              <w:rPr>
                <w:b/>
              </w:rPr>
              <w:t>Share</w:t>
            </w:r>
          </w:p>
        </w:tc>
      </w:tr>
      <w:tr>
        <w:tc>
          <w:tcPr>
            <w:tcW w:type="dxa" w:w="2880"/>
          </w:tcPr>
          <w:p>
            <w:r>
              <w:t>Steady</w:t>
            </w:r>
          </w:p>
        </w:tc>
        <w:tc>
          <w:tcPr>
            <w:tcW w:type="dxa" w:w="2880"/>
          </w:tcPr>
          <w:p>
            <w:r>
              <w:t>6,293</w:t>
            </w:r>
          </w:p>
        </w:tc>
        <w:tc>
          <w:tcPr>
            <w:tcW w:type="dxa" w:w="2880"/>
          </w:tcPr>
          <w:p>
            <w:r>
              <w:t>61.9%</w:t>
            </w:r>
          </w:p>
        </w:tc>
      </w:tr>
      <w:tr>
        <w:tc>
          <w:tcPr>
            <w:tcW w:type="dxa" w:w="2880"/>
          </w:tcPr>
          <w:p>
            <w:r>
              <w:t>Improving</w:t>
            </w:r>
          </w:p>
        </w:tc>
        <w:tc>
          <w:tcPr>
            <w:tcW w:type="dxa" w:w="2880"/>
          </w:tcPr>
          <w:p>
            <w:r>
              <w:t>3,438</w:t>
            </w:r>
          </w:p>
        </w:tc>
        <w:tc>
          <w:tcPr>
            <w:tcW w:type="dxa" w:w="2880"/>
          </w:tcPr>
          <w:p>
            <w:r>
              <w:t>33.8%</w:t>
            </w:r>
          </w:p>
        </w:tc>
      </w:tr>
      <w:tr>
        <w:tc>
          <w:tcPr>
            <w:tcW w:type="dxa" w:w="2880"/>
          </w:tcPr>
          <w:p>
            <w:r>
              <w:t>Declining</w:t>
            </w:r>
          </w:p>
        </w:tc>
        <w:tc>
          <w:tcPr>
            <w:tcW w:type="dxa" w:w="2880"/>
          </w:tcPr>
          <w:p>
            <w:r>
              <w:t>257</w:t>
            </w:r>
          </w:p>
        </w:tc>
        <w:tc>
          <w:tcPr>
            <w:tcW w:type="dxa" w:w="2880"/>
          </w:tcPr>
          <w:p>
            <w:r>
              <w:t>2.5%</w:t>
            </w:r>
          </w:p>
        </w:tc>
      </w:tr>
      <w:tr>
        <w:tc>
          <w:tcPr>
            <w:tcW w:type="dxa" w:w="2880"/>
          </w:tcPr>
          <w:p>
            <w:r>
              <w:t>Mixed</w:t>
            </w:r>
          </w:p>
        </w:tc>
        <w:tc>
          <w:tcPr>
            <w:tcW w:type="dxa" w:w="2880"/>
          </w:tcPr>
          <w:p>
            <w:r>
              <w:t>177</w:t>
            </w:r>
          </w:p>
        </w:tc>
        <w:tc>
          <w:tcPr>
            <w:tcW w:type="dxa" w:w="2880"/>
          </w:tcPr>
          <w:p>
            <w:r>
              <w:t>1.7%</w:t>
            </w:r>
          </w:p>
        </w:tc>
      </w:tr>
    </w:tbl>
    <w:p>
      <w:pPr>
        <w:pStyle w:val="Heading1"/>
      </w:pPr>
      <w:r>
        <w:t>What the numbers tell us</w:t>
      </w:r>
    </w:p>
    <w:p>
      <w:r>
        <w:t># What the numbers tell us — Tracey Radler</w:t>
      </w:r>
    </w:p>
    <w:p>
      <w:r>
        <w:t>**Standing relative to team.** Tracey is meaningfully ahead of the team on the two metrics that matter most. Her average sentiment is 0.53 versus the team's 0.39, and her conversion proxy is 0.54 versus 0.35 — both materially better, across a very large sample (10,165 calls). 72.3% of her calls land positive and another 4.7% very positive; only 5.0% land negative or very negative. The concern is trajectory: her improving-trajectory share is 0.00, identical to the team-wide 0.00, and 61.9% of her calls register as steady. She arrives at good outcomes, but the data does not show her actively turning rooms around — she starts strong and stays strong, which is a different skill than recovery.</w:t>
      </w:r>
    </w:p>
    <w:p>
      <w:r>
        <w:t>**Volume and mix.** This is a heavy book — 10,165 calls, skewed outbound (7,599 vs. 2,566 inbound). The mix is notable: support is her single largest bucket at 26.2% (2,660 calls), followed by ready_to_book at 21.5% and rebooking at 16.6%. Booked accounts for another 16.3%. In practical terms, more than 40% of her work is post-sale (support + rebooking + booked + post_trip), and only ~12.8% is true researching. This is a relationship/retention book, not a top-of-funnel book, and her destination and line concentration (Viking, Viking River, Celebrity, Silversea, Regent; Miami, Florida, London, Amsterdam, Venice) is consistent with repeat premium cruise clientele. The mix is appropriate for that profile, but it does mean her 0.54 conversion proxy is being earned largely on warm and rebooking traffic, not cold discovery.</w:t>
      </w:r>
    </w:p>
    <w:p>
      <w:r>
        <w:t>**Sentiment and trajectory.** She is managing the room expertly, not moving it. The best examples are warm-news outbound calls where she's delivering value the client already wanted — Brian's upgrade and refund ("Oh, my god. You made my day. Oh, god bless you. I mean I saw that email come in and I just couldn't believe it.") and David Marshall's midship cabin ("We really appreciate all the personalized attention. Not everybody does that kind of thing."). Both are sentiment 0.95, trajectory steady. Where she does show range is in the Steve and Julie research call — 96 minutes, trajectory improved, ending with "You've given me more help in the last, whatever, thirty minutes or so than anyone's given me in a year." That call is the proof point that she can move a skeptical room when she invests the time. The negative tail is small but real: Helen's Odyssey complaint ("Odyssey will never see me again and I intend to file a complaint with the Better Business Bureau.") and John Martin's escalation about another planner ("I thought I was building a relationship with Sherry and apparently she doesn't want to deal with me.") are inherited problems she absorbed rather than created.</w:t>
      </w:r>
    </w:p>
    <w:p>
      <w:r>
        <w:t>**Closing technique.** No signal. The payload has no closing_attempt, close_outcome, close_language, or missed_signals data populated across any of the surfaced examples — best, worst, or high-objection. We cannot evaluate her close mechanics from this dataset. The 0.54 conversion proxy suggests outcomes are landing, but we have no verbatim close language to coach against. Recommend instrumenting this before the next review cycle.</w:t>
      </w:r>
    </w:p>
    <w:p>
      <w:r>
        <w:t>**Coaching priority — recovery on high-objection rebooking.** The Bridget/Osiana call is the development moment. Sentiment finished at -0.55, trajectory steady, with the client saying flatly: "we are not willing to spend $100,000 to have another experience like that." The buying signals were all there — she asked Tracey to price a Regent 81-night with business-class flights, confirmed Phoenix departure, committed to deciding soon — but the call did not improve. Tracey held the room; she did not turn it. Given that 16.6% of her book is rebooking and these clients arrive already irritated, the single highest-leverage skill to build is moving a steady-negative or mixed call into improved territory. Her improving_share of 0.00 is the gap to close.</w:t>
      </w:r>
    </w:p>
    <w:p>
      <w:r>
        <w:t>**Amplify — long-form discovery on disengaged repeat clients.** The Steve and Julie call is the template to scale. She spent 96 minutes, surfaced specific objections (past agents never proactively contacted them, $50 onboard credit "insufficient"), and earned: "You've given me more help in the last, whatever, thirty minutes or so than anyone's given me in a year." This is a repeatable play for re-engaging dormant premium cruisers — which, given her Viking/Silversea/Regent concentration, is exactly the segment with the highest LTV. Protect her capacity to run these long discovery calls and consider routing more lapsed-premium leads to her deliberately.</w:t>
      </w:r>
    </w:p>
    <w:p/>
    <w:p>
      <w:r>
        <w:rPr>
          <w:i/>
          <w:color w:val="808080"/>
          <w:sz w:val="18"/>
        </w:rPr>
        <w:t>Internal leadership document. Source: Dialpad call transcripts analyzed by Claude. Conversion proxy is a transcript-derived signal, not a confirmed booking count.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