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Taylor Bazzoni — Performance Report</w:t>
      </w:r>
    </w:p>
    <w:p>
      <w:r>
        <w:rPr>
          <w:i/>
        </w:rPr>
        <w:t>All time · 9000 analyzed calls · generated 2026-05-26 21:30</w:t>
      </w:r>
    </w:p>
    <w:p>
      <w:pPr>
        <w:pStyle w:val="Heading1"/>
      </w:pPr>
      <w:r>
        <w:t>Overview</w:t>
      </w:r>
    </w:p>
    <w:p>
      <w:r>
        <w:t>Taylor Bazzoni handled 9,000 analyzed calls from 2023-07-03 to 2026-05-22. Average customer sentiment was 0.54 (on a -1 to +1 scale), with an average call duration of 7 min 50 sec. Conversion proxy (booked + ready-to-book + rebooking ÷ total) is 52%, and the share of calls where the customer's mood improved during the call is 0%. Direction mix: inbound 2,451 / outbound 6,549.</w:t>
      </w:r>
    </w:p>
    <w:p>
      <w:r>
        <w:rPr>
          <w:b/>
        </w:rPr>
        <w:t xml:space="preserve">Top destinations handled: </w:t>
      </w:r>
      <w:r>
        <w:t>Europe (403), Amsterdam (345), Paris (313), Miami (303), Caribbean (298), New York (277)</w:t>
      </w:r>
    </w:p>
    <w:p>
      <w:r>
        <w:rPr>
          <w:b/>
        </w:rPr>
        <w:t xml:space="preserve">Top cruise lines handled: </w:t>
      </w:r>
      <w:r>
        <w:t>Viking (989), Viking River Cruises (559), Royal Caribbean (455), Silversea (440), Globus (337), Celebrity (316)</w:t>
      </w:r>
    </w:p>
    <w:p>
      <w:pPr>
        <w:pStyle w:val="Heading1"/>
      </w:pPr>
      <w:r>
        <w:t>Calls by Intent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Intent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Ready to Book</w:t>
            </w:r>
          </w:p>
        </w:tc>
        <w:tc>
          <w:tcPr>
            <w:tcW w:type="dxa" w:w="2880"/>
          </w:tcPr>
          <w:p>
            <w:r>
              <w:t>2,388</w:t>
            </w:r>
          </w:p>
        </w:tc>
        <w:tc>
          <w:tcPr>
            <w:tcW w:type="dxa" w:w="2880"/>
          </w:tcPr>
          <w:p>
            <w:r>
              <w:t>26.5%</w:t>
            </w:r>
          </w:p>
        </w:tc>
      </w:tr>
      <w:tr>
        <w:tc>
          <w:tcPr>
            <w:tcW w:type="dxa" w:w="2880"/>
          </w:tcPr>
          <w:p>
            <w:r>
              <w:t>Researching</w:t>
            </w:r>
          </w:p>
        </w:tc>
        <w:tc>
          <w:tcPr>
            <w:tcW w:type="dxa" w:w="2880"/>
          </w:tcPr>
          <w:p>
            <w:r>
              <w:t>1,994</w:t>
            </w:r>
          </w:p>
        </w:tc>
        <w:tc>
          <w:tcPr>
            <w:tcW w:type="dxa" w:w="2880"/>
          </w:tcPr>
          <w:p>
            <w:r>
              <w:t>22.2%</w:t>
            </w:r>
          </w:p>
        </w:tc>
      </w:tr>
      <w:tr>
        <w:tc>
          <w:tcPr>
            <w:tcW w:type="dxa" w:w="2880"/>
          </w:tcPr>
          <w:p>
            <w:r>
              <w:t>Support</w:t>
            </w:r>
          </w:p>
        </w:tc>
        <w:tc>
          <w:tcPr>
            <w:tcW w:type="dxa" w:w="2880"/>
          </w:tcPr>
          <w:p>
            <w:r>
              <w:t>1,806</w:t>
            </w:r>
          </w:p>
        </w:tc>
        <w:tc>
          <w:tcPr>
            <w:tcW w:type="dxa" w:w="2880"/>
          </w:tcPr>
          <w:p>
            <w:r>
              <w:t>20.1%</w:t>
            </w:r>
          </w:p>
        </w:tc>
      </w:tr>
      <w:tr>
        <w:tc>
          <w:tcPr>
            <w:tcW w:type="dxa" w:w="2880"/>
          </w:tcPr>
          <w:p>
            <w:r>
              <w:t>Rebooking</w:t>
            </w:r>
          </w:p>
        </w:tc>
        <w:tc>
          <w:tcPr>
            <w:tcW w:type="dxa" w:w="2880"/>
          </w:tcPr>
          <w:p>
            <w:r>
              <w:t>1,259</w:t>
            </w:r>
          </w:p>
        </w:tc>
        <w:tc>
          <w:tcPr>
            <w:tcW w:type="dxa" w:w="2880"/>
          </w:tcPr>
          <w:p>
            <w:r>
              <w:t>14.0%</w:t>
            </w:r>
          </w:p>
        </w:tc>
      </w:tr>
      <w:tr>
        <w:tc>
          <w:tcPr>
            <w:tcW w:type="dxa" w:w="2880"/>
          </w:tcPr>
          <w:p>
            <w:r>
              <w:t>Booked</w:t>
            </w:r>
          </w:p>
        </w:tc>
        <w:tc>
          <w:tcPr>
            <w:tcW w:type="dxa" w:w="2880"/>
          </w:tcPr>
          <w:p>
            <w:r>
              <w:t>1,059</w:t>
            </w:r>
          </w:p>
        </w:tc>
        <w:tc>
          <w:tcPr>
            <w:tcW w:type="dxa" w:w="2880"/>
          </w:tcPr>
          <w:p>
            <w:r>
              <w:t>11.8%</w:t>
            </w:r>
          </w:p>
        </w:tc>
      </w:tr>
      <w:tr>
        <w:tc>
          <w:tcPr>
            <w:tcW w:type="dxa" w:w="2880"/>
          </w:tcPr>
          <w:p>
            <w:r>
              <w:t>Other</w:t>
            </w:r>
          </w:p>
        </w:tc>
        <w:tc>
          <w:tcPr>
            <w:tcW w:type="dxa" w:w="2880"/>
          </w:tcPr>
          <w:p>
            <w:r>
              <w:t>378</w:t>
            </w:r>
          </w:p>
        </w:tc>
        <w:tc>
          <w:tcPr>
            <w:tcW w:type="dxa" w:w="2880"/>
          </w:tcPr>
          <w:p>
            <w:r>
              <w:t>4.2%</w:t>
            </w:r>
          </w:p>
        </w:tc>
      </w:tr>
      <w:tr>
        <w:tc>
          <w:tcPr>
            <w:tcW w:type="dxa" w:w="2880"/>
          </w:tcPr>
          <w:p>
            <w:r>
              <w:t>Complaint</w:t>
            </w:r>
          </w:p>
        </w:tc>
        <w:tc>
          <w:tcPr>
            <w:tcW w:type="dxa" w:w="2880"/>
          </w:tcPr>
          <w:p>
            <w:r>
              <w:t>71</w:t>
            </w:r>
          </w:p>
        </w:tc>
        <w:tc>
          <w:tcPr>
            <w:tcW w:type="dxa" w:w="2880"/>
          </w:tcPr>
          <w:p>
            <w:r>
              <w:t>0.8%</w:t>
            </w:r>
          </w:p>
        </w:tc>
      </w:tr>
      <w:tr>
        <w:tc>
          <w:tcPr>
            <w:tcW w:type="dxa" w:w="2880"/>
          </w:tcPr>
          <w:p>
            <w:r>
              <w:t>Post-Trip</w:t>
            </w:r>
          </w:p>
        </w:tc>
        <w:tc>
          <w:tcPr>
            <w:tcW w:type="dxa" w:w="2880"/>
          </w:tcPr>
          <w:p>
            <w:r>
              <w:t>43</w:t>
            </w:r>
          </w:p>
        </w:tc>
        <w:tc>
          <w:tcPr>
            <w:tcW w:type="dxa" w:w="2880"/>
          </w:tcPr>
          <w:p>
            <w:r>
              <w:t>0.5%</w:t>
            </w:r>
          </w:p>
        </w:tc>
      </w:tr>
      <w:tr>
        <w:tc>
          <w:tcPr>
            <w:tcW w:type="dxa" w:w="2880"/>
          </w:tcPr>
          <w:p>
            <w:r>
              <w:t>booking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  <w:tr>
        <w:tc>
          <w:tcPr>
            <w:tcW w:type="dxa" w:w="2880"/>
          </w:tcPr>
          <w:p>
            <w:r>
              <w:t>comparison_shopping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</w:tbl>
    <w:p>
      <w:pPr>
        <w:pStyle w:val="Heading1"/>
      </w:pPr>
      <w:r>
        <w:t>Calls by Sentiment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Sentiment Label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Positive</w:t>
            </w:r>
          </w:p>
        </w:tc>
        <w:tc>
          <w:tcPr>
            <w:tcW w:type="dxa" w:w="2880"/>
          </w:tcPr>
          <w:p>
            <w:r>
              <w:t>6,573</w:t>
            </w:r>
          </w:p>
        </w:tc>
        <w:tc>
          <w:tcPr>
            <w:tcW w:type="dxa" w:w="2880"/>
          </w:tcPr>
          <w:p>
            <w:r>
              <w:t>73.0%</w:t>
            </w:r>
          </w:p>
        </w:tc>
      </w:tr>
      <w:tr>
        <w:tc>
          <w:tcPr>
            <w:tcW w:type="dxa" w:w="2880"/>
          </w:tcPr>
          <w:p>
            <w:r>
              <w:t>Neutral</w:t>
            </w:r>
          </w:p>
        </w:tc>
        <w:tc>
          <w:tcPr>
            <w:tcW w:type="dxa" w:w="2880"/>
          </w:tcPr>
          <w:p>
            <w:r>
              <w:t>1,547</w:t>
            </w:r>
          </w:p>
        </w:tc>
        <w:tc>
          <w:tcPr>
            <w:tcW w:type="dxa" w:w="2880"/>
          </w:tcPr>
          <w:p>
            <w:r>
              <w:t>17.2%</w:t>
            </w:r>
          </w:p>
        </w:tc>
      </w:tr>
      <w:tr>
        <w:tc>
          <w:tcPr>
            <w:tcW w:type="dxa" w:w="2880"/>
          </w:tcPr>
          <w:p>
            <w:r>
              <w:t>Very Positive</w:t>
            </w:r>
          </w:p>
        </w:tc>
        <w:tc>
          <w:tcPr>
            <w:tcW w:type="dxa" w:w="2880"/>
          </w:tcPr>
          <w:p>
            <w:r>
              <w:t>478</w:t>
            </w:r>
          </w:p>
        </w:tc>
        <w:tc>
          <w:tcPr>
            <w:tcW w:type="dxa" w:w="2880"/>
          </w:tcPr>
          <w:p>
            <w:r>
              <w:t>5.3%</w:t>
            </w:r>
          </w:p>
        </w:tc>
      </w:tr>
      <w:tr>
        <w:tc>
          <w:tcPr>
            <w:tcW w:type="dxa" w:w="2880"/>
          </w:tcPr>
          <w:p>
            <w:r>
              <w:t>Negative</w:t>
            </w:r>
          </w:p>
        </w:tc>
        <w:tc>
          <w:tcPr>
            <w:tcW w:type="dxa" w:w="2880"/>
          </w:tcPr>
          <w:p>
            <w:r>
              <w:t>389</w:t>
            </w:r>
          </w:p>
        </w:tc>
        <w:tc>
          <w:tcPr>
            <w:tcW w:type="dxa" w:w="2880"/>
          </w:tcPr>
          <w:p>
            <w:r>
              <w:t>4.3%</w:t>
            </w:r>
          </w:p>
        </w:tc>
      </w:tr>
      <w:tr>
        <w:tc>
          <w:tcPr>
            <w:tcW w:type="dxa" w:w="2880"/>
          </w:tcPr>
          <w:p>
            <w:r>
              <w:t>Very Negative</w:t>
            </w:r>
          </w:p>
        </w:tc>
        <w:tc>
          <w:tcPr>
            <w:tcW w:type="dxa" w:w="2880"/>
          </w:tcPr>
          <w:p>
            <w:r>
              <w:t>13</w:t>
            </w:r>
          </w:p>
        </w:tc>
        <w:tc>
          <w:tcPr>
            <w:tcW w:type="dxa" w:w="2880"/>
          </w:tcPr>
          <w:p>
            <w:r>
              <w:t>0.1%</w:t>
            </w:r>
          </w:p>
        </w:tc>
      </w:tr>
    </w:tbl>
    <w:p>
      <w:r>
        <w:rPr>
          <w:b/>
        </w:rPr>
        <w:t xml:space="preserve">Numeric average sentiment: </w:t>
      </w:r>
      <w:r>
        <w:rPr>
          <w:i w:val="0"/>
        </w:rPr>
        <w:t xml:space="preserve">0.54    </w:t>
      </w:r>
      <w:r>
        <w:rPr>
          <w:i/>
        </w:rPr>
        <w:t>(team average: 0.39)</w:t>
      </w:r>
    </w:p>
    <w:p>
      <w:pPr>
        <w:pStyle w:val="Heading1"/>
      </w:pPr>
      <w:r>
        <w:t>Calls Trajectory</w:t>
      </w:r>
    </w:p>
    <w:p>
      <w:r>
        <w:t>Trajectory captures whether the customer's emotional state improved, declined, or held steady during each call. A high 'improving' share indicates the planner is moving customers toward a better state.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Trajectory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Steady</w:t>
            </w:r>
          </w:p>
        </w:tc>
        <w:tc>
          <w:tcPr>
            <w:tcW w:type="dxa" w:w="2880"/>
          </w:tcPr>
          <w:p>
            <w:r>
              <w:t>6,130</w:t>
            </w:r>
          </w:p>
        </w:tc>
        <w:tc>
          <w:tcPr>
            <w:tcW w:type="dxa" w:w="2880"/>
          </w:tcPr>
          <w:p>
            <w:r>
              <w:t>68.1%</w:t>
            </w:r>
          </w:p>
        </w:tc>
      </w:tr>
      <w:tr>
        <w:tc>
          <w:tcPr>
            <w:tcW w:type="dxa" w:w="2880"/>
          </w:tcPr>
          <w:p>
            <w:r>
              <w:t>Improving</w:t>
            </w:r>
          </w:p>
        </w:tc>
        <w:tc>
          <w:tcPr>
            <w:tcW w:type="dxa" w:w="2880"/>
          </w:tcPr>
          <w:p>
            <w:r>
              <w:t>2,558</w:t>
            </w:r>
          </w:p>
        </w:tc>
        <w:tc>
          <w:tcPr>
            <w:tcW w:type="dxa" w:w="2880"/>
          </w:tcPr>
          <w:p>
            <w:r>
              <w:t>28.4%</w:t>
            </w:r>
          </w:p>
        </w:tc>
      </w:tr>
      <w:tr>
        <w:tc>
          <w:tcPr>
            <w:tcW w:type="dxa" w:w="2880"/>
          </w:tcPr>
          <w:p>
            <w:r>
              <w:t>Declining</w:t>
            </w:r>
          </w:p>
        </w:tc>
        <w:tc>
          <w:tcPr>
            <w:tcW w:type="dxa" w:w="2880"/>
          </w:tcPr>
          <w:p>
            <w:r>
              <w:t>211</w:t>
            </w:r>
          </w:p>
        </w:tc>
        <w:tc>
          <w:tcPr>
            <w:tcW w:type="dxa" w:w="2880"/>
          </w:tcPr>
          <w:p>
            <w:r>
              <w:t>2.3%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101</w:t>
            </w:r>
          </w:p>
        </w:tc>
        <w:tc>
          <w:tcPr>
            <w:tcW w:type="dxa" w:w="2880"/>
          </w:tcPr>
          <w:p>
            <w:r>
              <w:t>1.1%</w:t>
            </w:r>
          </w:p>
        </w:tc>
      </w:tr>
    </w:tbl>
    <w:p>
      <w:pPr>
        <w:pStyle w:val="Heading1"/>
      </w:pPr>
      <w:r>
        <w:t>What the numbers tell us</w:t>
      </w:r>
    </w:p>
    <w:p>
      <w:r>
        <w:t># What the numbers tell us — Taylor Bazzoni</w:t>
      </w:r>
    </w:p>
    <w:p>
      <w:r>
        <w:t>**1. Position relative to the team.** Taylor is meaningfully above the team on the two outcome metrics that matter: sentiment averages 0.54 vs. team 0.39, and the conversion proxy sits at 0.52 vs. team 0.35. Positive or very-positive sentiment shows up on 78.3% of calls (6,573 + 478 of 9,000), with only 4.4% negative or worse. The concern is trajectory: improving-share is 0.00 in the headline metric, though the underlying distribution shows 28.4% "improved" and 68.1% "steady." Read together, Taylor is a high-floor planner — clients arrive warm and stay warm — but the room is rarely being moved from cold to hot. That ceiling matters for the hardest calls.</w:t>
      </w:r>
    </w:p>
    <w:p>
      <w:r>
        <w:t>**2. Volume and mix.** 9,000 calls is a high-volume book. The mix is healthy and revenue-weighted: 26.5% ready_to_book and 11.8% booked (38.3% combined on the closing/servicing end), 22.2% researching at the top of funnel, 14.0% rebooking, and 20.1% support. Complaints are 0.8% and post-trip 0.5% — low, but post-trip is also where the best examples live, so the underweight is a missed retention lever. Outbound dominates (6,549 vs. 2,451 inbound), consistent with a planner running their own pipeline rather than catching queue. Destination and line concentration (Viking 989, Viking River 559, Silversea 440, Regent 295; Europe/Amsterdam/Paris on top) suggests a luxury/river-cruise specialty — appropriate for the mix.</w:t>
      </w:r>
    </w:p>
    <w:p>
      <w:r>
        <w:t>**3. Sentiment and trajectory.** Taylor manages the room more than moves it. 68.1% steady is the dominant pattern, and the best-example calls are all sentiment 0.95 with "steady" trajectory — clients who came in glowing and left glowing: *"We really do appreciate it. You really helped us along with everything, really"* (Leonard, post-trip) and *"I just wanna thank you for just doing all of that, all the leg work for us and that just means the world."* That is loyalty, not persuasion. Where Taylor *does* turn a call around, it shows: the Carter Australia/New Zealand call moved to 0.72 / improved with the client landing on *"we're probably gonna do this, you know what you've proposed for me here on Seaborn,"* and even the Jane/Kensington Italy call — which opened with *"This is just not working. This is just turning into a nightmare"* — closed as "improved." So the capability exists; it's just not the default.</w:t>
      </w:r>
    </w:p>
    <w:p>
      <w:r>
        <w:t>**4. Closing technique.** No signal. Across best, worst, and high-objection examples, `closing_attempt`, `close_outcome`, `close_language`, and `missed_signals` are all null or empty. Even on the Carter call — a ready_to_book client explicitly saying *"stated intention to move forward fairly fast on Seaborn due to February discount deadline"* and *"explicitly said probably gonna go with Seaborn and do it this week"* — there is no recorded close attempt. The 0.52 conversion proxy is being earned through rapport and follow-through, not through asking for the booking. That is a structural gap worth instrumenting before it's coached.</w:t>
      </w:r>
    </w:p>
    <w:p>
      <w:r>
        <w:t>**5. Coaching priority — name the close on ready_to_book calls.** With 2,388 ready_to_book calls and zero captured closing language, the single highest-leverage development area is converting stated intent into a booked transaction on the same call. The Carter call is the cleanest illustration: the client said *"I'm gonna look at Sianna a little more but like I said, we're probably gonna do this, you know what you've proposed for me here on Seaborn"* — that is an invitation to close, and the next step was a callback the following day rather than a deposit. Coach a direct ask ("Want me to hold the cabin with a deposit now so you don't lose the February pricing?") tied to the urgency the client has already named.</w:t>
      </w:r>
    </w:p>
    <w:p>
      <w:r>
        <w:t>**6. What to amplify — post-trip outbound calls.** Taylor's best work is the unprompted thank-you/check-in call after travel. Leonard's two July calls produced sentiment 0.95 plus four concrete buying signals each: *"requested hard copy brochures for multiple tour types," "planning to book another trip next year with granddaughter," "referred Pavlus to multiple people already," "keeping agent's phone number for future bookings."* The Martha's Vineyard client *"expressed willingness to provide referrals for referral bonus"* and *"offered to write reviews and tell others about Taylor."* Post-trip is currently 0.5% of the mix (43 calls). Scaling that to even 3–5% would compound referrals and repeat bookings off a behavior Taylor already executes at the top of the team.</w:t>
      </w:r>
    </w:p>
    <w:p/>
    <w:p>
      <w:r>
        <w:rPr>
          <w:i/>
          <w:color w:val="808080"/>
          <w:sz w:val="18"/>
        </w:rPr>
        <w:t>Internal leadership document. Source: Dialpad call transcripts analyzed by Claude. Conversion proxy is a transcript-derived signal, not a confirmed booking count.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