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Susan Bender — Performance Report</w:t>
      </w:r>
    </w:p>
    <w:p>
      <w:r>
        <w:rPr>
          <w:i/>
        </w:rPr>
        <w:t>All time · 8925 analyzed calls · generated 2026-05-26 21:31</w:t>
      </w:r>
    </w:p>
    <w:p>
      <w:pPr>
        <w:pStyle w:val="Heading1"/>
      </w:pPr>
      <w:r>
        <w:t>Overview</w:t>
      </w:r>
    </w:p>
    <w:p>
      <w:r>
        <w:t>Susan Bender handled 8,925 analyzed calls from 2023-07-03 to 2026-05-23. Average customer sentiment was 0.48 (on a -1 to +1 scale), with an average call duration of 7 min 58 sec. Conversion proxy (booked + ready-to-book + rebooking ÷ total) is 50%, and the share of calls where the customer's mood improved during the call is 0%. Direction mix: inbound 4,001 / outbound 4,924.</w:t>
      </w:r>
    </w:p>
    <w:p>
      <w:r>
        <w:rPr>
          <w:b/>
        </w:rPr>
        <w:t xml:space="preserve">Top destinations handled: </w:t>
      </w:r>
      <w:r>
        <w:t>Miami (434), Europe (358), Paris (318), New York (287), Rome (286), London (286)</w:t>
      </w:r>
    </w:p>
    <w:p>
      <w:r>
        <w:rPr>
          <w:b/>
        </w:rPr>
        <w:t xml:space="preserve">Top cruise lines handled: </w:t>
      </w:r>
      <w:r>
        <w:t>Viking (1022), Regent (924), Viking River Cruises (542), Globus (341), Tauck (315), Silversea (294)</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Support</w:t>
            </w:r>
          </w:p>
        </w:tc>
        <w:tc>
          <w:tcPr>
            <w:tcW w:type="dxa" w:w="2880"/>
          </w:tcPr>
          <w:p>
            <w:r>
              <w:t>2,639</w:t>
            </w:r>
          </w:p>
        </w:tc>
        <w:tc>
          <w:tcPr>
            <w:tcW w:type="dxa" w:w="2880"/>
          </w:tcPr>
          <w:p>
            <w:r>
              <w:t>29.6%</w:t>
            </w:r>
          </w:p>
        </w:tc>
      </w:tr>
      <w:tr>
        <w:tc>
          <w:tcPr>
            <w:tcW w:type="dxa" w:w="2880"/>
          </w:tcPr>
          <w:p>
            <w:r>
              <w:t>Ready to Book</w:t>
            </w:r>
          </w:p>
        </w:tc>
        <w:tc>
          <w:tcPr>
            <w:tcW w:type="dxa" w:w="2880"/>
          </w:tcPr>
          <w:p>
            <w:r>
              <w:t>1,868</w:t>
            </w:r>
          </w:p>
        </w:tc>
        <w:tc>
          <w:tcPr>
            <w:tcW w:type="dxa" w:w="2880"/>
          </w:tcPr>
          <w:p>
            <w:r>
              <w:t>20.9%</w:t>
            </w:r>
          </w:p>
        </w:tc>
      </w:tr>
      <w:tr>
        <w:tc>
          <w:tcPr>
            <w:tcW w:type="dxa" w:w="2880"/>
          </w:tcPr>
          <w:p>
            <w:r>
              <w:t>Rebooking</w:t>
            </w:r>
          </w:p>
        </w:tc>
        <w:tc>
          <w:tcPr>
            <w:tcW w:type="dxa" w:w="2880"/>
          </w:tcPr>
          <w:p>
            <w:r>
              <w:t>1,407</w:t>
            </w:r>
          </w:p>
        </w:tc>
        <w:tc>
          <w:tcPr>
            <w:tcW w:type="dxa" w:w="2880"/>
          </w:tcPr>
          <w:p>
            <w:r>
              <w:t>15.8%</w:t>
            </w:r>
          </w:p>
        </w:tc>
      </w:tr>
      <w:tr>
        <w:tc>
          <w:tcPr>
            <w:tcW w:type="dxa" w:w="2880"/>
          </w:tcPr>
          <w:p>
            <w:r>
              <w:t>Researching</w:t>
            </w:r>
          </w:p>
        </w:tc>
        <w:tc>
          <w:tcPr>
            <w:tcW w:type="dxa" w:w="2880"/>
          </w:tcPr>
          <w:p>
            <w:r>
              <w:t>1,261</w:t>
            </w:r>
          </w:p>
        </w:tc>
        <w:tc>
          <w:tcPr>
            <w:tcW w:type="dxa" w:w="2880"/>
          </w:tcPr>
          <w:p>
            <w:r>
              <w:t>14.1%</w:t>
            </w:r>
          </w:p>
        </w:tc>
      </w:tr>
      <w:tr>
        <w:tc>
          <w:tcPr>
            <w:tcW w:type="dxa" w:w="2880"/>
          </w:tcPr>
          <w:p>
            <w:r>
              <w:t>Booked</w:t>
            </w:r>
          </w:p>
        </w:tc>
        <w:tc>
          <w:tcPr>
            <w:tcW w:type="dxa" w:w="2880"/>
          </w:tcPr>
          <w:p>
            <w:r>
              <w:t>1,176</w:t>
            </w:r>
          </w:p>
        </w:tc>
        <w:tc>
          <w:tcPr>
            <w:tcW w:type="dxa" w:w="2880"/>
          </w:tcPr>
          <w:p>
            <w:r>
              <w:t>13.2%</w:t>
            </w:r>
          </w:p>
        </w:tc>
      </w:tr>
      <w:tr>
        <w:tc>
          <w:tcPr>
            <w:tcW w:type="dxa" w:w="2880"/>
          </w:tcPr>
          <w:p>
            <w:r>
              <w:t>Other</w:t>
            </w:r>
          </w:p>
        </w:tc>
        <w:tc>
          <w:tcPr>
            <w:tcW w:type="dxa" w:w="2880"/>
          </w:tcPr>
          <w:p>
            <w:r>
              <w:t>372</w:t>
            </w:r>
          </w:p>
        </w:tc>
        <w:tc>
          <w:tcPr>
            <w:tcW w:type="dxa" w:w="2880"/>
          </w:tcPr>
          <w:p>
            <w:r>
              <w:t>4.2%</w:t>
            </w:r>
          </w:p>
        </w:tc>
      </w:tr>
      <w:tr>
        <w:tc>
          <w:tcPr>
            <w:tcW w:type="dxa" w:w="2880"/>
          </w:tcPr>
          <w:p>
            <w:r>
              <w:t>Complaint</w:t>
            </w:r>
          </w:p>
        </w:tc>
        <w:tc>
          <w:tcPr>
            <w:tcW w:type="dxa" w:w="2880"/>
          </w:tcPr>
          <w:p>
            <w:r>
              <w:t>112</w:t>
            </w:r>
          </w:p>
        </w:tc>
        <w:tc>
          <w:tcPr>
            <w:tcW w:type="dxa" w:w="2880"/>
          </w:tcPr>
          <w:p>
            <w:r>
              <w:t>1.3%</w:t>
            </w:r>
          </w:p>
        </w:tc>
      </w:tr>
      <w:tr>
        <w:tc>
          <w:tcPr>
            <w:tcW w:type="dxa" w:w="2880"/>
          </w:tcPr>
          <w:p>
            <w:r>
              <w:t>Post-Trip</w:t>
            </w:r>
          </w:p>
        </w:tc>
        <w:tc>
          <w:tcPr>
            <w:tcW w:type="dxa" w:w="2880"/>
          </w:tcPr>
          <w:p>
            <w:r>
              <w:t>87</w:t>
            </w:r>
          </w:p>
        </w:tc>
        <w:tc>
          <w:tcPr>
            <w:tcW w:type="dxa" w:w="2880"/>
          </w:tcPr>
          <w:p>
            <w:r>
              <w:t>1.0%</w:t>
            </w:r>
          </w:p>
        </w:tc>
      </w:tr>
      <w:tr>
        <w:tc>
          <w:tcPr>
            <w:tcW w:type="dxa" w:w="2880"/>
          </w:tcPr>
          <w:p>
            <w:r>
              <w:t>not_reached</w:t>
            </w:r>
          </w:p>
        </w:tc>
        <w:tc>
          <w:tcPr>
            <w:tcW w:type="dxa" w:w="2880"/>
          </w:tcPr>
          <w:p>
            <w:r>
              <w:t>1</w:t>
            </w:r>
          </w:p>
        </w:tc>
        <w:tc>
          <w:tcPr>
            <w:tcW w:type="dxa" w:w="2880"/>
          </w:tcPr>
          <w:p>
            <w:r>
              <w:t>0.0%</w:t>
            </w:r>
          </w:p>
        </w:tc>
      </w:tr>
      <w:tr>
        <w:tc>
          <w:tcPr>
            <w:tcW w:type="dxa" w:w="2880"/>
          </w:tcPr>
          <w:p>
            <w:r>
              <w:t>referral_and_rebooking</w:t>
            </w:r>
          </w:p>
        </w:tc>
        <w:tc>
          <w:tcPr>
            <w:tcW w:type="dxa" w:w="2880"/>
          </w:tcPr>
          <w:p>
            <w:r>
              <w:t>1</w:t>
            </w:r>
          </w:p>
        </w:tc>
        <w:tc>
          <w:tcPr>
            <w:tcW w:type="dxa" w:w="2880"/>
          </w:tcPr>
          <w:p>
            <w:r>
              <w:t>0.0%</w:t>
            </w:r>
          </w:p>
        </w:tc>
      </w:tr>
      <w:tr>
        <w:tc>
          <w:tcPr>
            <w:tcW w:type="dxa" w:w="2880"/>
          </w:tcPr>
          <w:p>
            <w:r>
              <w:t>unknown</w:t>
            </w:r>
          </w:p>
        </w:tc>
        <w:tc>
          <w:tcPr>
            <w:tcW w:type="dxa" w:w="2880"/>
          </w:tcPr>
          <w:p>
            <w:r>
              <w:t>1</w:t>
            </w:r>
          </w:p>
        </w:tc>
        <w:tc>
          <w:tcPr>
            <w:tcW w:type="dxa" w:w="2880"/>
          </w:tcPr>
          <w:p>
            <w:r>
              <w:t>0.0%</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6,082</w:t>
            </w:r>
          </w:p>
        </w:tc>
        <w:tc>
          <w:tcPr>
            <w:tcW w:type="dxa" w:w="2880"/>
          </w:tcPr>
          <w:p>
            <w:r>
              <w:t>68.1%</w:t>
            </w:r>
          </w:p>
        </w:tc>
      </w:tr>
      <w:tr>
        <w:tc>
          <w:tcPr>
            <w:tcW w:type="dxa" w:w="2880"/>
          </w:tcPr>
          <w:p>
            <w:r>
              <w:t>Neutral</w:t>
            </w:r>
          </w:p>
        </w:tc>
        <w:tc>
          <w:tcPr>
            <w:tcW w:type="dxa" w:w="2880"/>
          </w:tcPr>
          <w:p>
            <w:r>
              <w:t>1,931</w:t>
            </w:r>
          </w:p>
        </w:tc>
        <w:tc>
          <w:tcPr>
            <w:tcW w:type="dxa" w:w="2880"/>
          </w:tcPr>
          <w:p>
            <w:r>
              <w:t>21.6%</w:t>
            </w:r>
          </w:p>
        </w:tc>
      </w:tr>
      <w:tr>
        <w:tc>
          <w:tcPr>
            <w:tcW w:type="dxa" w:w="2880"/>
          </w:tcPr>
          <w:p>
            <w:r>
              <w:t>Negative</w:t>
            </w:r>
          </w:p>
        </w:tc>
        <w:tc>
          <w:tcPr>
            <w:tcW w:type="dxa" w:w="2880"/>
          </w:tcPr>
          <w:p>
            <w:r>
              <w:t>556</w:t>
            </w:r>
          </w:p>
        </w:tc>
        <w:tc>
          <w:tcPr>
            <w:tcW w:type="dxa" w:w="2880"/>
          </w:tcPr>
          <w:p>
            <w:r>
              <w:t>6.2%</w:t>
            </w:r>
          </w:p>
        </w:tc>
      </w:tr>
      <w:tr>
        <w:tc>
          <w:tcPr>
            <w:tcW w:type="dxa" w:w="2880"/>
          </w:tcPr>
          <w:p>
            <w:r>
              <w:t>Very Positive</w:t>
            </w:r>
          </w:p>
        </w:tc>
        <w:tc>
          <w:tcPr>
            <w:tcW w:type="dxa" w:w="2880"/>
          </w:tcPr>
          <w:p>
            <w:r>
              <w:t>320</w:t>
            </w:r>
          </w:p>
        </w:tc>
        <w:tc>
          <w:tcPr>
            <w:tcW w:type="dxa" w:w="2880"/>
          </w:tcPr>
          <w:p>
            <w:r>
              <w:t>3.6%</w:t>
            </w:r>
          </w:p>
        </w:tc>
      </w:tr>
      <w:tr>
        <w:tc>
          <w:tcPr>
            <w:tcW w:type="dxa" w:w="2880"/>
          </w:tcPr>
          <w:p>
            <w:r>
              <w:t>Very Negative</w:t>
            </w:r>
          </w:p>
        </w:tc>
        <w:tc>
          <w:tcPr>
            <w:tcW w:type="dxa" w:w="2880"/>
          </w:tcPr>
          <w:p>
            <w:r>
              <w:t>34</w:t>
            </w:r>
          </w:p>
        </w:tc>
        <w:tc>
          <w:tcPr>
            <w:tcW w:type="dxa" w:w="2880"/>
          </w:tcPr>
          <w:p>
            <w:r>
              <w:t>0.4%</w:t>
            </w:r>
          </w:p>
        </w:tc>
      </w:tr>
      <w:tr>
        <w:tc>
          <w:tcPr>
            <w:tcW w:type="dxa" w:w="2880"/>
          </w:tcPr>
          <w:p>
            <w:r>
              <w:t>mixed</w:t>
            </w:r>
          </w:p>
        </w:tc>
        <w:tc>
          <w:tcPr>
            <w:tcW w:type="dxa" w:w="2880"/>
          </w:tcPr>
          <w:p>
            <w:r>
              <w:t>2</w:t>
            </w:r>
          </w:p>
        </w:tc>
        <w:tc>
          <w:tcPr>
            <w:tcW w:type="dxa" w:w="2880"/>
          </w:tcPr>
          <w:p>
            <w:r>
              <w:t>0.0%</w:t>
            </w:r>
          </w:p>
        </w:tc>
      </w:tr>
    </w:tbl>
    <w:p>
      <w:r>
        <w:rPr>
          <w:b/>
        </w:rPr>
        <w:t xml:space="preserve">Numeric average sentiment: </w:t>
      </w:r>
      <w:r>
        <w:rPr>
          <w:i w:val="0"/>
        </w:rPr>
        <w:t xml:space="preserve">0.48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6,529</w:t>
            </w:r>
          </w:p>
        </w:tc>
        <w:tc>
          <w:tcPr>
            <w:tcW w:type="dxa" w:w="2880"/>
          </w:tcPr>
          <w:p>
            <w:r>
              <w:t>73.2%</w:t>
            </w:r>
          </w:p>
        </w:tc>
      </w:tr>
      <w:tr>
        <w:tc>
          <w:tcPr>
            <w:tcW w:type="dxa" w:w="2880"/>
          </w:tcPr>
          <w:p>
            <w:r>
              <w:t>Improving</w:t>
            </w:r>
          </w:p>
        </w:tc>
        <w:tc>
          <w:tcPr>
            <w:tcW w:type="dxa" w:w="2880"/>
          </w:tcPr>
          <w:p>
            <w:r>
              <w:t>2,013</w:t>
            </w:r>
          </w:p>
        </w:tc>
        <w:tc>
          <w:tcPr>
            <w:tcW w:type="dxa" w:w="2880"/>
          </w:tcPr>
          <w:p>
            <w:r>
              <w:t>22.6%</w:t>
            </w:r>
          </w:p>
        </w:tc>
      </w:tr>
      <w:tr>
        <w:tc>
          <w:tcPr>
            <w:tcW w:type="dxa" w:w="2880"/>
          </w:tcPr>
          <w:p>
            <w:r>
              <w:t>Declining</w:t>
            </w:r>
          </w:p>
        </w:tc>
        <w:tc>
          <w:tcPr>
            <w:tcW w:type="dxa" w:w="2880"/>
          </w:tcPr>
          <w:p>
            <w:r>
              <w:t>251</w:t>
            </w:r>
          </w:p>
        </w:tc>
        <w:tc>
          <w:tcPr>
            <w:tcW w:type="dxa" w:w="2880"/>
          </w:tcPr>
          <w:p>
            <w:r>
              <w:t>2.8%</w:t>
            </w:r>
          </w:p>
        </w:tc>
      </w:tr>
      <w:tr>
        <w:tc>
          <w:tcPr>
            <w:tcW w:type="dxa" w:w="2880"/>
          </w:tcPr>
          <w:p>
            <w:r>
              <w:t>Mixed</w:t>
            </w:r>
          </w:p>
        </w:tc>
        <w:tc>
          <w:tcPr>
            <w:tcW w:type="dxa" w:w="2880"/>
          </w:tcPr>
          <w:p>
            <w:r>
              <w:t>132</w:t>
            </w:r>
          </w:p>
        </w:tc>
        <w:tc>
          <w:tcPr>
            <w:tcW w:type="dxa" w:w="2880"/>
          </w:tcPr>
          <w:p>
            <w:r>
              <w:t>1.5%</w:t>
            </w:r>
          </w:p>
        </w:tc>
      </w:tr>
    </w:tbl>
    <w:p>
      <w:pPr>
        <w:pStyle w:val="Heading1"/>
      </w:pPr>
      <w:r>
        <w:t>What the numbers tell us</w:t>
      </w:r>
    </w:p>
    <w:p>
      <w:r>
        <w:t># What the numbers tell us — Susan Bender</w:t>
      </w:r>
    </w:p>
    <w:p>
      <w:r>
        <w:t>**Where she stands.** Across 8,925 analyzed calls, Susan runs meaningfully ahead of the team on both headline metrics: average sentiment 0.48 vs. team 0.39, and conversion proxy 0.50 vs. team 0.35. Positive or very-positive sentiment shows up on 71.7% of her calls (6,082 positive + 320 very-positive), with negative/very-negative at just 6.6%. The concern is trajectory: only 22.6% of her calls are coded "improved" and 73.2% are "steady." She is starting calls in a good place and keeping them there, not turning rooms around. That matches the team-wide improving-trajectory share of 0.00 — it's a system pattern, not just hers — but with her volume and sentiment baseline, she is the planner best positioned to actually move declining calls.</w:t>
      </w:r>
    </w:p>
    <w:p>
      <w:r>
        <w:t>**Volume and mix.** The mix skews service-heavy: 29.6% support (2,639), 15.8% rebooking (1,407), 13.2% already-booked (1,176), 1.3% complaint, 1.0% post-trip. That's roughly 61% of her time on customers who are already in the funnel. Ready-to-book is 20.9% (1,868) and researching is 14.1% (1,261) — about a third of her calls have real closing potential. Outbound (4,924) slightly outweighs inbound (4,001), and the destination/cruise mix is high-AOV product: Viking (1,022), Regent (924), Viking River (542), Tauck, Silversea, with Miami, Paris, Rome, London, Amsterdam, Japan on the destination side. This is a senior book of business being serviced by a planner clients clearly request by name — Bev's "you the best agency out there and you know my best agent ever" is the tell. The risk in this mix is that support and rebooking work crowds out time on the 3,129 ready-to-book/researching calls.</w:t>
      </w:r>
    </w:p>
    <w:p>
      <w:r>
        <w:t>**Sentiment and trajectory.** She manages the room exceptionally well at the top end. Ken's close-out — "you are awesome, you are just awesome. You're responsive and you're accurate and you're a wonderful travel agent" — and Bev's "best agent ever" line are not generic praise; they follow specifically difficult bookings (Ken called his "a challenging booking process"). She holds sentiment through friction. Where she does not yet move the room is on declined or high-objection calls. On Jean's Viking cancellation complaint — "I never had an experience like this with Viking before, but I don't really know if we're going to ever use them again because this is just not fair" — trajectory is logged "declined." The companion call on the same incident did improve, so the capability exists; it isn't consistent. 251 calls (2.8%) ended declined, and that's the pool worth working.</w:t>
      </w:r>
    </w:p>
    <w:p>
      <w:r>
        <w:t>**Closing technique.** No signal. Across the best, worst, and high-objection examples surfaced, every record shows `closing_attempt: null`, `close_outcome: null`, `close_language: []`, and `missed_signals: []`. We cannot evaluate her closing language from this payload, despite a 0.50 conversion proxy that suggests something is working. Recommend instrumenting closing capture before the next review cycle — without it we are grading conversion blind.</w:t>
      </w:r>
    </w:p>
    <w:p>
      <w:r>
        <w:t>**Coaching priority — convert post-trip complaint into rebooking in the same call.** Gayle's post-trip Oceana call is the clearest example. She literally hands Susan the next sale: buying signals include "actively considering alternative cruise lines: Viking, Regent, or Celebrity" and "open to rebooking despite disappointment." Gayle's own words — "I love Oceana, I've always known they have been good, but they really have gone downhill, they have" — are a loyalty pivot in real time. Trajectory came out "steady" on one leg and "improved" on the other, with no logged closing attempt. With Susan's Viking and Regent volume (1,946 combined calls), a structured "acknowledge → reframe → propose specific alternative" motion on complaint and post-trip calls (1.3% + 1.0% = ~210 calls) is the highest-leverage skill to build. Judith's Regent billing call is the same pattern: $844 in disputed charges, four buying signals logged including "agreed to locate and email/fax onboard bill," no close attempt recorded.</w:t>
      </w:r>
    </w:p>
    <w:p>
      <w:r>
        <w:t>**What to amplify — the repeat-client trust engine.** Bev volunteered that she is "actively distributing agent's business cards to referrals." Ken called back specifically to thank her after a hard booking. This is the asset to protect: Susan converts hard service episodes into advocacy. Formalize it — referral tracking tied to her book, named-agent inbound routing, and a templated post-resolution outreach on the rebooking (1,407) and booked (1,176) populations. That's 2,583 calls a year of warm relationship surface area she is already winning on; the team-wide conversion gap (0.50 vs 0.35) suggests this is replicable training material, not just personality.</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