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Rose Morrissey — Performance Report</w:t>
      </w:r>
    </w:p>
    <w:p>
      <w:r>
        <w:rPr>
          <w:i/>
        </w:rPr>
        <w:t>All time · 13811 analyzed calls · generated 2026-05-26 21:26</w:t>
      </w:r>
    </w:p>
    <w:p>
      <w:pPr>
        <w:pStyle w:val="Heading1"/>
      </w:pPr>
      <w:r>
        <w:t>Overview</w:t>
      </w:r>
    </w:p>
    <w:p>
      <w:r>
        <w:t>Rose Morrissey handled 13,811 analyzed calls from 2023-07-03 to 2026-05-20. Average customer sentiment was 0.45 (on a -1 to +1 scale), with an average call duration of 8 min 44 sec. Conversion proxy (booked + ready-to-book + rebooking ÷ total) is 54%, and the share of calls where the customer's mood improved during the call is 0%. Direction mix: inbound 4,897 / outbound 8,914.</w:t>
      </w:r>
    </w:p>
    <w:p>
      <w:r>
        <w:rPr>
          <w:b/>
        </w:rPr>
        <w:t xml:space="preserve">Top destinations handled: </w:t>
      </w:r>
      <w:r>
        <w:t>Miami (774), Paris (614), New York (600), Barcelona (589), London (535), Amsterdam (514)</w:t>
      </w:r>
    </w:p>
    <w:p>
      <w:r>
        <w:rPr>
          <w:b/>
        </w:rPr>
        <w:t xml:space="preserve">Top cruise lines handled: </w:t>
      </w:r>
      <w:r>
        <w:t>Silversea (1265), Viking (1069), Regent (861), Viking River Cruises (551), Royal Caribbean (438), Uniworld (416)</w:t>
      </w:r>
    </w:p>
    <w:p>
      <w:pPr>
        <w:pStyle w:val="Heading1"/>
      </w:pPr>
      <w:r>
        <w:t>Calls by Intent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Intent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Support</w:t>
            </w:r>
          </w:p>
        </w:tc>
        <w:tc>
          <w:tcPr>
            <w:tcW w:type="dxa" w:w="2880"/>
          </w:tcPr>
          <w:p>
            <w:r>
              <w:t>3,931</w:t>
            </w:r>
          </w:p>
        </w:tc>
        <w:tc>
          <w:tcPr>
            <w:tcW w:type="dxa" w:w="2880"/>
          </w:tcPr>
          <w:p>
            <w:r>
              <w:t>28.5%</w:t>
            </w:r>
          </w:p>
        </w:tc>
      </w:tr>
      <w:tr>
        <w:tc>
          <w:tcPr>
            <w:tcW w:type="dxa" w:w="2880"/>
          </w:tcPr>
          <w:p>
            <w:r>
              <w:t>Ready to Book</w:t>
            </w:r>
          </w:p>
        </w:tc>
        <w:tc>
          <w:tcPr>
            <w:tcW w:type="dxa" w:w="2880"/>
          </w:tcPr>
          <w:p>
            <w:r>
              <w:t>2,717</w:t>
            </w:r>
          </w:p>
        </w:tc>
        <w:tc>
          <w:tcPr>
            <w:tcW w:type="dxa" w:w="2880"/>
          </w:tcPr>
          <w:p>
            <w:r>
              <w:t>19.7%</w:t>
            </w:r>
          </w:p>
        </w:tc>
      </w:tr>
      <w:tr>
        <w:tc>
          <w:tcPr>
            <w:tcW w:type="dxa" w:w="2880"/>
          </w:tcPr>
          <w:p>
            <w:r>
              <w:t>Rebooking</w:t>
            </w:r>
          </w:p>
        </w:tc>
        <w:tc>
          <w:tcPr>
            <w:tcW w:type="dxa" w:w="2880"/>
          </w:tcPr>
          <w:p>
            <w:r>
              <w:t>2,712</w:t>
            </w:r>
          </w:p>
        </w:tc>
        <w:tc>
          <w:tcPr>
            <w:tcW w:type="dxa" w:w="2880"/>
          </w:tcPr>
          <w:p>
            <w:r>
              <w:t>19.6%</w:t>
            </w:r>
          </w:p>
        </w:tc>
      </w:tr>
      <w:tr>
        <w:tc>
          <w:tcPr>
            <w:tcW w:type="dxa" w:w="2880"/>
          </w:tcPr>
          <w:p>
            <w:r>
              <w:t>Booked</w:t>
            </w:r>
          </w:p>
        </w:tc>
        <w:tc>
          <w:tcPr>
            <w:tcW w:type="dxa" w:w="2880"/>
          </w:tcPr>
          <w:p>
            <w:r>
              <w:t>2,086</w:t>
            </w:r>
          </w:p>
        </w:tc>
        <w:tc>
          <w:tcPr>
            <w:tcW w:type="dxa" w:w="2880"/>
          </w:tcPr>
          <w:p>
            <w:r>
              <w:t>15.1%</w:t>
            </w:r>
          </w:p>
        </w:tc>
      </w:tr>
      <w:tr>
        <w:tc>
          <w:tcPr>
            <w:tcW w:type="dxa" w:w="2880"/>
          </w:tcPr>
          <w:p>
            <w:r>
              <w:t>Researching</w:t>
            </w:r>
          </w:p>
        </w:tc>
        <w:tc>
          <w:tcPr>
            <w:tcW w:type="dxa" w:w="2880"/>
          </w:tcPr>
          <w:p>
            <w:r>
              <w:t>1,271</w:t>
            </w:r>
          </w:p>
        </w:tc>
        <w:tc>
          <w:tcPr>
            <w:tcW w:type="dxa" w:w="2880"/>
          </w:tcPr>
          <w:p>
            <w:r>
              <w:t>9.2%</w:t>
            </w:r>
          </w:p>
        </w:tc>
      </w:tr>
      <w:tr>
        <w:tc>
          <w:tcPr>
            <w:tcW w:type="dxa" w:w="2880"/>
          </w:tcPr>
          <w:p>
            <w:r>
              <w:t>Other</w:t>
            </w:r>
          </w:p>
        </w:tc>
        <w:tc>
          <w:tcPr>
            <w:tcW w:type="dxa" w:w="2880"/>
          </w:tcPr>
          <w:p>
            <w:r>
              <w:t>812</w:t>
            </w:r>
          </w:p>
        </w:tc>
        <w:tc>
          <w:tcPr>
            <w:tcW w:type="dxa" w:w="2880"/>
          </w:tcPr>
          <w:p>
            <w:r>
              <w:t>5.9%</w:t>
            </w:r>
          </w:p>
        </w:tc>
      </w:tr>
      <w:tr>
        <w:tc>
          <w:tcPr>
            <w:tcW w:type="dxa" w:w="2880"/>
          </w:tcPr>
          <w:p>
            <w:r>
              <w:t>Complaint</w:t>
            </w:r>
          </w:p>
        </w:tc>
        <w:tc>
          <w:tcPr>
            <w:tcW w:type="dxa" w:w="2880"/>
          </w:tcPr>
          <w:p>
            <w:r>
              <w:t>162</w:t>
            </w:r>
          </w:p>
        </w:tc>
        <w:tc>
          <w:tcPr>
            <w:tcW w:type="dxa" w:w="2880"/>
          </w:tcPr>
          <w:p>
            <w:r>
              <w:t>1.2%</w:t>
            </w:r>
          </w:p>
        </w:tc>
      </w:tr>
      <w:tr>
        <w:tc>
          <w:tcPr>
            <w:tcW w:type="dxa" w:w="2880"/>
          </w:tcPr>
          <w:p>
            <w:r>
              <w:t>Post-Trip</w:t>
            </w:r>
          </w:p>
        </w:tc>
        <w:tc>
          <w:tcPr>
            <w:tcW w:type="dxa" w:w="2880"/>
          </w:tcPr>
          <w:p>
            <w:r>
              <w:t>114</w:t>
            </w:r>
          </w:p>
        </w:tc>
        <w:tc>
          <w:tcPr>
            <w:tcW w:type="dxa" w:w="2880"/>
          </w:tcPr>
          <w:p>
            <w:r>
              <w:t>0.8%</w:t>
            </w:r>
          </w:p>
        </w:tc>
      </w:tr>
      <w:tr>
        <w:tc>
          <w:tcPr>
            <w:tcW w:type="dxa" w:w="2880"/>
          </w:tcPr>
          <w:p>
            <w:r>
              <w:t>referral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  <w:tr>
        <w:tc>
          <w:tcPr>
            <w:tcW w:type="dxa" w:w="2880"/>
          </w:tcPr>
          <w:p>
            <w:r>
              <w:t>unknown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  <w:tr>
        <w:tc>
          <w:tcPr>
            <w:tcW w:type="dxa" w:w="2880"/>
          </w:tcPr>
          <w:p>
            <w:r>
              <w:t>supporting_referral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  <w:tr>
        <w:tc>
          <w:tcPr>
            <w:tcW w:type="dxa" w:w="2880"/>
          </w:tcPr>
          <w:p>
            <w:r>
              <w:t>comparison_shopping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  <w:tr>
        <w:tc>
          <w:tcPr>
            <w:tcW w:type="dxa" w:w="2880"/>
          </w:tcPr>
          <w:p>
            <w:r>
              <w:t>booking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pPr>
        <w:pStyle w:val="Heading1"/>
      </w:pPr>
      <w:r>
        <w:t>Calls by Sentiment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Sentiment Label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Positive</w:t>
            </w:r>
          </w:p>
        </w:tc>
        <w:tc>
          <w:tcPr>
            <w:tcW w:type="dxa" w:w="2880"/>
          </w:tcPr>
          <w:p>
            <w:r>
              <w:t>8,783</w:t>
            </w:r>
          </w:p>
        </w:tc>
        <w:tc>
          <w:tcPr>
            <w:tcW w:type="dxa" w:w="2880"/>
          </w:tcPr>
          <w:p>
            <w:r>
              <w:t>63.6%</w:t>
            </w:r>
          </w:p>
        </w:tc>
      </w:tr>
      <w:tr>
        <w:tc>
          <w:tcPr>
            <w:tcW w:type="dxa" w:w="2880"/>
          </w:tcPr>
          <w:p>
            <w:r>
              <w:t>Neutral</w:t>
            </w:r>
          </w:p>
        </w:tc>
        <w:tc>
          <w:tcPr>
            <w:tcW w:type="dxa" w:w="2880"/>
          </w:tcPr>
          <w:p>
            <w:r>
              <w:t>3,401</w:t>
            </w:r>
          </w:p>
        </w:tc>
        <w:tc>
          <w:tcPr>
            <w:tcW w:type="dxa" w:w="2880"/>
          </w:tcPr>
          <w:p>
            <w:r>
              <w:t>24.6%</w:t>
            </w:r>
          </w:p>
        </w:tc>
      </w:tr>
      <w:tr>
        <w:tc>
          <w:tcPr>
            <w:tcW w:type="dxa" w:w="2880"/>
          </w:tcPr>
          <w:p>
            <w:r>
              <w:t>Negative</w:t>
            </w:r>
          </w:p>
        </w:tc>
        <w:tc>
          <w:tcPr>
            <w:tcW w:type="dxa" w:w="2880"/>
          </w:tcPr>
          <w:p>
            <w:r>
              <w:t>1,052</w:t>
            </w:r>
          </w:p>
        </w:tc>
        <w:tc>
          <w:tcPr>
            <w:tcW w:type="dxa" w:w="2880"/>
          </w:tcPr>
          <w:p>
            <w:r>
              <w:t>7.6%</w:t>
            </w:r>
          </w:p>
        </w:tc>
      </w:tr>
      <w:tr>
        <w:tc>
          <w:tcPr>
            <w:tcW w:type="dxa" w:w="2880"/>
          </w:tcPr>
          <w:p>
            <w:r>
              <w:t>Very Positive</w:t>
            </w:r>
          </w:p>
        </w:tc>
        <w:tc>
          <w:tcPr>
            <w:tcW w:type="dxa" w:w="2880"/>
          </w:tcPr>
          <w:p>
            <w:r>
              <w:t>470</w:t>
            </w:r>
          </w:p>
        </w:tc>
        <w:tc>
          <w:tcPr>
            <w:tcW w:type="dxa" w:w="2880"/>
          </w:tcPr>
          <w:p>
            <w:r>
              <w:t>3.4%</w:t>
            </w:r>
          </w:p>
        </w:tc>
      </w:tr>
      <w:tr>
        <w:tc>
          <w:tcPr>
            <w:tcW w:type="dxa" w:w="2880"/>
          </w:tcPr>
          <w:p>
            <w:r>
              <w:t>Very Negative</w:t>
            </w:r>
          </w:p>
        </w:tc>
        <w:tc>
          <w:tcPr>
            <w:tcW w:type="dxa" w:w="2880"/>
          </w:tcPr>
          <w:p>
            <w:r>
              <w:t>103</w:t>
            </w:r>
          </w:p>
        </w:tc>
        <w:tc>
          <w:tcPr>
            <w:tcW w:type="dxa" w:w="2880"/>
          </w:tcPr>
          <w:p>
            <w:r>
              <w:t>0.7%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r>
        <w:rPr>
          <w:b/>
        </w:rPr>
        <w:t xml:space="preserve">Numeric average sentiment: </w:t>
      </w:r>
      <w:r>
        <w:rPr>
          <w:i w:val="0"/>
        </w:rPr>
        <w:t xml:space="preserve">0.45    </w:t>
      </w:r>
      <w:r>
        <w:rPr>
          <w:i/>
        </w:rPr>
        <w:t>(team average: 0.39)</w:t>
      </w:r>
    </w:p>
    <w:p>
      <w:pPr>
        <w:pStyle w:val="Heading1"/>
      </w:pPr>
      <w:r>
        <w:t>Calls Trajectory</w:t>
      </w:r>
    </w:p>
    <w:p>
      <w:r>
        <w:t>Trajectory captures whether the customer's emotional state improved, declined, or held steady during each call. A high 'improving' share indicates the planner is moving customers toward a better state.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Trajectory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Steady</w:t>
            </w:r>
          </w:p>
        </w:tc>
        <w:tc>
          <w:tcPr>
            <w:tcW w:type="dxa" w:w="2880"/>
          </w:tcPr>
          <w:p>
            <w:r>
              <w:t>9,160</w:t>
            </w:r>
          </w:p>
        </w:tc>
        <w:tc>
          <w:tcPr>
            <w:tcW w:type="dxa" w:w="2880"/>
          </w:tcPr>
          <w:p>
            <w:r>
              <w:t>66.3%</w:t>
            </w:r>
          </w:p>
        </w:tc>
      </w:tr>
      <w:tr>
        <w:tc>
          <w:tcPr>
            <w:tcW w:type="dxa" w:w="2880"/>
          </w:tcPr>
          <w:p>
            <w:r>
              <w:t>Improving</w:t>
            </w:r>
          </w:p>
        </w:tc>
        <w:tc>
          <w:tcPr>
            <w:tcW w:type="dxa" w:w="2880"/>
          </w:tcPr>
          <w:p>
            <w:r>
              <w:t>3,591</w:t>
            </w:r>
          </w:p>
        </w:tc>
        <w:tc>
          <w:tcPr>
            <w:tcW w:type="dxa" w:w="2880"/>
          </w:tcPr>
          <w:p>
            <w:r>
              <w:t>26.0%</w:t>
            </w:r>
          </w:p>
        </w:tc>
      </w:tr>
      <w:tr>
        <w:tc>
          <w:tcPr>
            <w:tcW w:type="dxa" w:w="2880"/>
          </w:tcPr>
          <w:p>
            <w:r>
              <w:t>Declining</w:t>
            </w:r>
          </w:p>
        </w:tc>
        <w:tc>
          <w:tcPr>
            <w:tcW w:type="dxa" w:w="2880"/>
          </w:tcPr>
          <w:p>
            <w:r>
              <w:t>690</w:t>
            </w:r>
          </w:p>
        </w:tc>
        <w:tc>
          <w:tcPr>
            <w:tcW w:type="dxa" w:w="2880"/>
          </w:tcPr>
          <w:p>
            <w:r>
              <w:t>5.0%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370</w:t>
            </w:r>
          </w:p>
        </w:tc>
        <w:tc>
          <w:tcPr>
            <w:tcW w:type="dxa" w:w="2880"/>
          </w:tcPr>
          <w:p>
            <w:r>
              <w:t>2.7%</w:t>
            </w:r>
          </w:p>
        </w:tc>
      </w:tr>
    </w:tbl>
    <w:p>
      <w:pPr>
        <w:pStyle w:val="Heading1"/>
      </w:pPr>
      <w:r>
        <w:t>What the numbers tell us</w:t>
      </w:r>
    </w:p>
    <w:p>
      <w:r>
        <w:t># What the numbers tell us — Rose Morrissey</w:t>
      </w:r>
    </w:p>
    <w:p>
      <w:r>
        <w:t>**1. Position relative to team.** Rose is operating above the team line on the two metrics that matter most. Her average sentiment of 0.45 beats the team's 0.39, and her conversion proxy of 0.54 is a substantial 19-point lift over the team's 0.35. Across 13,811 analyzed calls, 63.6% land positive and another 3.4% very positive — only 8.3% close negative or very negative. The concern is trajectory: her improving-trajectory share is 0.00, identical to the team baseline. Two-thirds of her calls (66.3%) are flagged steady. She starts high and stays high, but the data does not show her actively turning rooms around.</w:t>
      </w:r>
    </w:p>
    <w:p>
      <w:r>
        <w:t>**2. Volume and mix.** 13,811 calls is heavy book-of-business volume, skewed outbound (8,914 vs. 4,897 inbound). The mix is appropriate for a senior planner carrying a large repeat base: 28.5% support and 19.6% rebooking together make up nearly half her work, which is service-load typical of an account-owning planner. The closing-adjacent buckets are healthy — 19.7% ready_to_book and 15.1% booked, totaling 34.8% of activity tied directly to revenue motion. Researching is low at 9.2%, suggesting she is not spending much time on top-of-funnel exploration; customers arrive warm. Cruise concentration is luxury-heavy: Silversea (1,265), Viking (1,069), Regent (861), with Miami, Paris, and New York leading destinations. This is a high-value book.</w:t>
      </w:r>
    </w:p>
    <w:p>
      <w:r>
        <w:t>**3. Sentiment and trajectory.** She manages the room more than she moves it. 66.3% steady vs. 26.0% improved tells us most calls land where they started — fine when they start positive, which hers usually do. When she does move a room, it shows: the Forbes Anne outbound ($42,348 single-occupancy special plus $1,300 ship credit plus $1,371 rebate) closed with "That is amazing, that is amazing. It's a done deal for sure. I just love it! Yay." That call is logged as improved, sentiment 0.95. The post-trip Antarctic debrief with Linda — "It was a trip of a life time, just fabulous" — is steady at 0.95, the right outcome for a referral/repeat-loyalty call. The 5.0% declined share is small but real, and the worst examples are dominated by misdirected outbound calls into IVR systems ("How long is this gonna be?") rather than customer-facing failures.</w:t>
      </w:r>
    </w:p>
    <w:p>
      <w:r>
        <w:t>**4. Closing technique.** No signal. Across the best, worst, and high-objection examples surfaced, closing_attempt, close_outcome, close_language, and missed_signals are all null or empty. We cannot evaluate her closing mechanics from this payload, despite the strong conversion proxy (0.54) suggesting the outcomes are there. Recommend instrumenting close-language capture on her calls specifically — the 19.7% ready_to_book bucket (2,717 calls) is where this data should live.</w:t>
      </w:r>
    </w:p>
    <w:p>
      <w:r>
        <w:t>**5. Coaching priority — recovery on high-objection post-trip calls.** The high-objection examples are all post_trip debriefs where loyal customers are venting about vendor failures, and the trajectories are steady or mixed, not improved. Ralph on Regent: "for that kind of money, that's not a luxury experience, and I probably would never do another Regent one again." Michael on Globus, tenth tour: "My foot, my foot it's a lie, it's a lie. It's an enhanced, it's an enhance description of bullshit." Both customers are giving strong forward-buying signals inside the complaint — Ralph committed to a 2026 Italian trip and referred two couples worth $1,900 in commission; Michael is asking about Micronesia. These are rebook opportunities wrapped in venting. The coaching ask: develop a structured pivot from vendor-complaint validation to next-trip soft close inside the same call, and get those trajectories from steady/mixed to improved.</w:t>
      </w:r>
    </w:p>
    <w:p>
      <w:r>
        <w:t>**6. What to amplify — the serendipity close.** The Forbes Anne call is a template. Rose presented the pricing delta, the ship credit, and the rebate as a stacked offer, and let the birthday timing carry emotional weight: "It's a done deal for sure. I just love it!" The customer immediately asked about the referral program for additional guests. That sequence — concrete dollar savings + timing hook + immediate referral capture — is the move to scale. Pull the call audio, build it into onboarding, and protect Rose's outbound capacity on similar single-occupancy and promo-special pushes where she clearly converts.</w:t>
      </w:r>
    </w:p>
    <w:p/>
    <w:p>
      <w:r>
        <w:rPr>
          <w:i/>
          <w:color w:val="808080"/>
          <w:sz w:val="18"/>
        </w:rPr>
        <w:t>Internal leadership document. Source: Dialpad call transcripts analyzed by Claude. Conversion proxy is a transcript-derived signal, not a confirmed booking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