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Pam Chavez — Performance Report</w:t>
      </w:r>
    </w:p>
    <w:p>
      <w:r>
        <w:rPr>
          <w:i/>
        </w:rPr>
        <w:t>All time · 8530 analyzed calls · generated 2026-05-26 21:32</w:t>
      </w:r>
    </w:p>
    <w:p>
      <w:pPr>
        <w:pStyle w:val="Heading1"/>
      </w:pPr>
      <w:r>
        <w:t>Overview</w:t>
      </w:r>
    </w:p>
    <w:p>
      <w:r>
        <w:t>Pam Chavez handled 8,530 analyzed calls from 2023-07-10 to 2026-05-20. Average customer sentiment was 0.45 (on a -1 to +1 scale), with an average call duration of 6 min 59 sec. Conversion proxy (booked + ready-to-book + rebooking ÷ total) is 55%, and the share of calls where the customer's mood improved during the call is 0%. Direction mix: inbound 2,977 / outbound 5,553.</w:t>
      </w:r>
    </w:p>
    <w:p>
      <w:r>
        <w:rPr>
          <w:b/>
        </w:rPr>
        <w:t xml:space="preserve">Top destinations handled: </w:t>
      </w:r>
      <w:r>
        <w:t>Paris (406), Miami (380), London (360), Alaska (314), Amsterdam (303), New York (290)</w:t>
      </w:r>
    </w:p>
    <w:p>
      <w:r>
        <w:rPr>
          <w:b/>
        </w:rPr>
        <w:t xml:space="preserve">Top cruise lines handled: </w:t>
      </w:r>
      <w:r>
        <w:t>Viking (602), Regent (515), Viking River Cruises (359), Tauck (336), Uniworld (287), Silversea (257)</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Support</w:t>
            </w:r>
          </w:p>
        </w:tc>
        <w:tc>
          <w:tcPr>
            <w:tcW w:type="dxa" w:w="2880"/>
          </w:tcPr>
          <w:p>
            <w:r>
              <w:t>2,115</w:t>
            </w:r>
          </w:p>
        </w:tc>
        <w:tc>
          <w:tcPr>
            <w:tcW w:type="dxa" w:w="2880"/>
          </w:tcPr>
          <w:p>
            <w:r>
              <w:t>24.8%</w:t>
            </w:r>
          </w:p>
        </w:tc>
      </w:tr>
      <w:tr>
        <w:tc>
          <w:tcPr>
            <w:tcW w:type="dxa" w:w="2880"/>
          </w:tcPr>
          <w:p>
            <w:r>
              <w:t>Ready to Book</w:t>
            </w:r>
          </w:p>
        </w:tc>
        <w:tc>
          <w:tcPr>
            <w:tcW w:type="dxa" w:w="2880"/>
          </w:tcPr>
          <w:p>
            <w:r>
              <w:t>1,877</w:t>
            </w:r>
          </w:p>
        </w:tc>
        <w:tc>
          <w:tcPr>
            <w:tcW w:type="dxa" w:w="2880"/>
          </w:tcPr>
          <w:p>
            <w:r>
              <w:t>22.0%</w:t>
            </w:r>
          </w:p>
        </w:tc>
      </w:tr>
      <w:tr>
        <w:tc>
          <w:tcPr>
            <w:tcW w:type="dxa" w:w="2880"/>
          </w:tcPr>
          <w:p>
            <w:r>
              <w:t>Rebooking</w:t>
            </w:r>
          </w:p>
        </w:tc>
        <w:tc>
          <w:tcPr>
            <w:tcW w:type="dxa" w:w="2880"/>
          </w:tcPr>
          <w:p>
            <w:r>
              <w:t>1,523</w:t>
            </w:r>
          </w:p>
        </w:tc>
        <w:tc>
          <w:tcPr>
            <w:tcW w:type="dxa" w:w="2880"/>
          </w:tcPr>
          <w:p>
            <w:r>
              <w:t>17.9%</w:t>
            </w:r>
          </w:p>
        </w:tc>
      </w:tr>
      <w:tr>
        <w:tc>
          <w:tcPr>
            <w:tcW w:type="dxa" w:w="2880"/>
          </w:tcPr>
          <w:p>
            <w:r>
              <w:t>Booked</w:t>
            </w:r>
          </w:p>
        </w:tc>
        <w:tc>
          <w:tcPr>
            <w:tcW w:type="dxa" w:w="2880"/>
          </w:tcPr>
          <w:p>
            <w:r>
              <w:t>1,292</w:t>
            </w:r>
          </w:p>
        </w:tc>
        <w:tc>
          <w:tcPr>
            <w:tcW w:type="dxa" w:w="2880"/>
          </w:tcPr>
          <w:p>
            <w:r>
              <w:t>15.1%</w:t>
            </w:r>
          </w:p>
        </w:tc>
      </w:tr>
      <w:tr>
        <w:tc>
          <w:tcPr>
            <w:tcW w:type="dxa" w:w="2880"/>
          </w:tcPr>
          <w:p>
            <w:r>
              <w:t>Researching</w:t>
            </w:r>
          </w:p>
        </w:tc>
        <w:tc>
          <w:tcPr>
            <w:tcW w:type="dxa" w:w="2880"/>
          </w:tcPr>
          <w:p>
            <w:r>
              <w:t>1,202</w:t>
            </w:r>
          </w:p>
        </w:tc>
        <w:tc>
          <w:tcPr>
            <w:tcW w:type="dxa" w:w="2880"/>
          </w:tcPr>
          <w:p>
            <w:r>
              <w:t>14.1%</w:t>
            </w:r>
          </w:p>
        </w:tc>
      </w:tr>
      <w:tr>
        <w:tc>
          <w:tcPr>
            <w:tcW w:type="dxa" w:w="2880"/>
          </w:tcPr>
          <w:p>
            <w:r>
              <w:t>Other</w:t>
            </w:r>
          </w:p>
        </w:tc>
        <w:tc>
          <w:tcPr>
            <w:tcW w:type="dxa" w:w="2880"/>
          </w:tcPr>
          <w:p>
            <w:r>
              <w:t>374</w:t>
            </w:r>
          </w:p>
        </w:tc>
        <w:tc>
          <w:tcPr>
            <w:tcW w:type="dxa" w:w="2880"/>
          </w:tcPr>
          <w:p>
            <w:r>
              <w:t>4.4%</w:t>
            </w:r>
          </w:p>
        </w:tc>
      </w:tr>
      <w:tr>
        <w:tc>
          <w:tcPr>
            <w:tcW w:type="dxa" w:w="2880"/>
          </w:tcPr>
          <w:p>
            <w:r>
              <w:t>Complaint</w:t>
            </w:r>
          </w:p>
        </w:tc>
        <w:tc>
          <w:tcPr>
            <w:tcW w:type="dxa" w:w="2880"/>
          </w:tcPr>
          <w:p>
            <w:r>
              <w:t>78</w:t>
            </w:r>
          </w:p>
        </w:tc>
        <w:tc>
          <w:tcPr>
            <w:tcW w:type="dxa" w:w="2880"/>
          </w:tcPr>
          <w:p>
            <w:r>
              <w:t>0.9%</w:t>
            </w:r>
          </w:p>
        </w:tc>
      </w:tr>
      <w:tr>
        <w:tc>
          <w:tcPr>
            <w:tcW w:type="dxa" w:w="2880"/>
          </w:tcPr>
          <w:p>
            <w:r>
              <w:t>Post-Trip</w:t>
            </w:r>
          </w:p>
        </w:tc>
        <w:tc>
          <w:tcPr>
            <w:tcW w:type="dxa" w:w="2880"/>
          </w:tcPr>
          <w:p>
            <w:r>
              <w:t>65</w:t>
            </w:r>
          </w:p>
        </w:tc>
        <w:tc>
          <w:tcPr>
            <w:tcW w:type="dxa" w:w="2880"/>
          </w:tcPr>
          <w:p>
            <w:r>
              <w:t>0.8%</w:t>
            </w:r>
          </w:p>
        </w:tc>
      </w:tr>
      <w:tr>
        <w:tc>
          <w:tcPr>
            <w:tcW w:type="dxa" w:w="2880"/>
          </w:tcPr>
          <w:p>
            <w:r>
              <w:t>referral</w:t>
            </w:r>
          </w:p>
        </w:tc>
        <w:tc>
          <w:tcPr>
            <w:tcW w:type="dxa" w:w="2880"/>
          </w:tcPr>
          <w:p>
            <w:r>
              <w:t>2</w:t>
            </w:r>
          </w:p>
        </w:tc>
        <w:tc>
          <w:tcPr>
            <w:tcW w:type="dxa" w:w="2880"/>
          </w:tcPr>
          <w:p>
            <w:r>
              <w:t>0.0%</w:t>
            </w:r>
          </w:p>
        </w:tc>
      </w:tr>
      <w:tr>
        <w:tc>
          <w:tcPr>
            <w:tcW w:type="dxa" w:w="2880"/>
          </w:tcPr>
          <w:p>
            <w:r>
              <w:t>booking</w:t>
            </w:r>
          </w:p>
        </w:tc>
        <w:tc>
          <w:tcPr>
            <w:tcW w:type="dxa" w:w="2880"/>
          </w:tcPr>
          <w:p>
            <w:r>
              <w:t>2</w:t>
            </w:r>
          </w:p>
        </w:tc>
        <w:tc>
          <w:tcPr>
            <w:tcW w:type="dxa" w:w="2880"/>
          </w:tcPr>
          <w:p>
            <w:r>
              <w:t>0.0%</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5,656</w:t>
            </w:r>
          </w:p>
        </w:tc>
        <w:tc>
          <w:tcPr>
            <w:tcW w:type="dxa" w:w="2880"/>
          </w:tcPr>
          <w:p>
            <w:r>
              <w:t>66.3%</w:t>
            </w:r>
          </w:p>
        </w:tc>
      </w:tr>
      <w:tr>
        <w:tc>
          <w:tcPr>
            <w:tcW w:type="dxa" w:w="2880"/>
          </w:tcPr>
          <w:p>
            <w:r>
              <w:t>Neutral</w:t>
            </w:r>
          </w:p>
        </w:tc>
        <w:tc>
          <w:tcPr>
            <w:tcW w:type="dxa" w:w="2880"/>
          </w:tcPr>
          <w:p>
            <w:r>
              <w:t>2,034</w:t>
            </w:r>
          </w:p>
        </w:tc>
        <w:tc>
          <w:tcPr>
            <w:tcW w:type="dxa" w:w="2880"/>
          </w:tcPr>
          <w:p>
            <w:r>
              <w:t>23.8%</w:t>
            </w:r>
          </w:p>
        </w:tc>
      </w:tr>
      <w:tr>
        <w:tc>
          <w:tcPr>
            <w:tcW w:type="dxa" w:w="2880"/>
          </w:tcPr>
          <w:p>
            <w:r>
              <w:t>Negative</w:t>
            </w:r>
          </w:p>
        </w:tc>
        <w:tc>
          <w:tcPr>
            <w:tcW w:type="dxa" w:w="2880"/>
          </w:tcPr>
          <w:p>
            <w:r>
              <w:t>640</w:t>
            </w:r>
          </w:p>
        </w:tc>
        <w:tc>
          <w:tcPr>
            <w:tcW w:type="dxa" w:w="2880"/>
          </w:tcPr>
          <w:p>
            <w:r>
              <w:t>7.5%</w:t>
            </w:r>
          </w:p>
        </w:tc>
      </w:tr>
      <w:tr>
        <w:tc>
          <w:tcPr>
            <w:tcW w:type="dxa" w:w="2880"/>
          </w:tcPr>
          <w:p>
            <w:r>
              <w:t>Very Positive</w:t>
            </w:r>
          </w:p>
        </w:tc>
        <w:tc>
          <w:tcPr>
            <w:tcW w:type="dxa" w:w="2880"/>
          </w:tcPr>
          <w:p>
            <w:r>
              <w:t>174</w:t>
            </w:r>
          </w:p>
        </w:tc>
        <w:tc>
          <w:tcPr>
            <w:tcW w:type="dxa" w:w="2880"/>
          </w:tcPr>
          <w:p>
            <w:r>
              <w:t>2.0%</w:t>
            </w:r>
          </w:p>
        </w:tc>
      </w:tr>
      <w:tr>
        <w:tc>
          <w:tcPr>
            <w:tcW w:type="dxa" w:w="2880"/>
          </w:tcPr>
          <w:p>
            <w:r>
              <w:t>Very Negative</w:t>
            </w:r>
          </w:p>
        </w:tc>
        <w:tc>
          <w:tcPr>
            <w:tcW w:type="dxa" w:w="2880"/>
          </w:tcPr>
          <w:p>
            <w:r>
              <w:t>26</w:t>
            </w:r>
          </w:p>
        </w:tc>
        <w:tc>
          <w:tcPr>
            <w:tcW w:type="dxa" w:w="2880"/>
          </w:tcPr>
          <w:p>
            <w:r>
              <w:t>0.3%</w:t>
            </w:r>
          </w:p>
        </w:tc>
      </w:tr>
    </w:tbl>
    <w:p>
      <w:r>
        <w:rPr>
          <w:b/>
        </w:rPr>
        <w:t xml:space="preserve">Numeric average sentiment: </w:t>
      </w:r>
      <w:r>
        <w:rPr>
          <w:i w:val="0"/>
        </w:rPr>
        <w:t xml:space="preserve">0.45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6,190</w:t>
            </w:r>
          </w:p>
        </w:tc>
        <w:tc>
          <w:tcPr>
            <w:tcW w:type="dxa" w:w="2880"/>
          </w:tcPr>
          <w:p>
            <w:r>
              <w:t>72.6%</w:t>
            </w:r>
          </w:p>
        </w:tc>
      </w:tr>
      <w:tr>
        <w:tc>
          <w:tcPr>
            <w:tcW w:type="dxa" w:w="2880"/>
          </w:tcPr>
          <w:p>
            <w:r>
              <w:t>Improving</w:t>
            </w:r>
          </w:p>
        </w:tc>
        <w:tc>
          <w:tcPr>
            <w:tcW w:type="dxa" w:w="2880"/>
          </w:tcPr>
          <w:p>
            <w:r>
              <w:t>1,831</w:t>
            </w:r>
          </w:p>
        </w:tc>
        <w:tc>
          <w:tcPr>
            <w:tcW w:type="dxa" w:w="2880"/>
          </w:tcPr>
          <w:p>
            <w:r>
              <w:t>21.5%</w:t>
            </w:r>
          </w:p>
        </w:tc>
      </w:tr>
      <w:tr>
        <w:tc>
          <w:tcPr>
            <w:tcW w:type="dxa" w:w="2880"/>
          </w:tcPr>
          <w:p>
            <w:r>
              <w:t>Declining</w:t>
            </w:r>
          </w:p>
        </w:tc>
        <w:tc>
          <w:tcPr>
            <w:tcW w:type="dxa" w:w="2880"/>
          </w:tcPr>
          <w:p>
            <w:r>
              <w:t>362</w:t>
            </w:r>
          </w:p>
        </w:tc>
        <w:tc>
          <w:tcPr>
            <w:tcW w:type="dxa" w:w="2880"/>
          </w:tcPr>
          <w:p>
            <w:r>
              <w:t>4.2%</w:t>
            </w:r>
          </w:p>
        </w:tc>
      </w:tr>
      <w:tr>
        <w:tc>
          <w:tcPr>
            <w:tcW w:type="dxa" w:w="2880"/>
          </w:tcPr>
          <w:p>
            <w:r>
              <w:t>Mixed</w:t>
            </w:r>
          </w:p>
        </w:tc>
        <w:tc>
          <w:tcPr>
            <w:tcW w:type="dxa" w:w="2880"/>
          </w:tcPr>
          <w:p>
            <w:r>
              <w:t>147</w:t>
            </w:r>
          </w:p>
        </w:tc>
        <w:tc>
          <w:tcPr>
            <w:tcW w:type="dxa" w:w="2880"/>
          </w:tcPr>
          <w:p>
            <w:r>
              <w:t>1.7%</w:t>
            </w:r>
          </w:p>
        </w:tc>
      </w:tr>
    </w:tbl>
    <w:p>
      <w:pPr>
        <w:pStyle w:val="Heading1"/>
      </w:pPr>
      <w:r>
        <w:t>What the numbers tell us</w:t>
      </w:r>
    </w:p>
    <w:p>
      <w:r>
        <w:t># What the Numbers Tell Us — Pam Chavez</w:t>
      </w:r>
    </w:p>
    <w:p>
      <w:r>
        <w:t>**Standing relative to the team.** Pam is above the team line on every headline metric we track. Her average sentiment of 0.45 beats the team's 0.39, and her conversion proxy of 0.55 is a sizable 20-point lead over the 0.35 team benchmark. Sentiment distribution backs this up: 68.3% of her calls land positive or very positive, and only 7.8% land negative or very negative. The concern side is narrower but real — her improving-trajectory share is 0.0%, matching the team's 0.00 but offering no upside story. 72.6% of her calls are "steady" and only 21.5% "improved." She holds the room well; she rarely transforms it.</w:t>
      </w:r>
    </w:p>
    <w:p>
      <w:r>
        <w:t>**Volume and mix.** 8,530 analyzed calls is a high-volume book. The mix is service-heavy: support (24.8%) is her largest bucket, followed by ready_to_book (22.0%), rebooking (17.9%), booked (15.1%), and researching (14.1%). Roughly 58% of her work is post-sale or mid-journey (support + rebooking + booked + post_trip), versus about 36% genuinely sales-shaped (ready_to_book + researching). Outbound (5,553) outpaces inbound (2,977) nearly 2:1, which is consistent with a planner running an active book of repeat clients on Viking (602), Regent (515), and Viking River (359). Complaints are negligible at 0.9%. This is the mix of a retention-and-execution planner, not a top-of-funnel hunter, and her numbers suggest she is well-deployed there.</w:t>
      </w:r>
    </w:p>
    <w:p>
      <w:r>
        <w:t>**Sentiment and trajectory.** Pam manages rooms more than she moves them. The best examples are emotionally strong but the customer was already won — Karen on the $492.75 refund call ("You made my day Pam. You really did. I really appreciate you, I really do.") and Ann thanking her for a ~$25,000 price advantage over a competitor ("I can't believe that difference in price. I didn't expect that big a difference and obviously it includes all the same work."). These are sentiment 0.9 calls with steady trajectory — she sustains delight, she doesn't manufacture it. Where she does move the room, it shows: the Todd Caribbean research call (64 minutes, sentiment 0.65, trajectory improved) ended with a courtesy hold on the Oceania Alara cabin despite five live objections including "skeptical of Oceania pricing" and "deck six location too noisy." Same pattern with Karen on the Rhine river cruise — opened at 0.15 sentiment with "I'm just so concerned that it's gonna be a nightmare and I don't want to spend $55,000 and be sorry," and improved to a committed follow-up with email captured and an April 25 departure on the table.</w:t>
      </w:r>
    </w:p>
    <w:p>
      <w:r>
        <w:t>**Closing technique.** No signal. Every example in the payload — best, worst, and high-objection — has null closing_attempt, null close_outcome, empty close_language, and empty missed_signals. We cannot evaluate her closing mechanics from this data. Given her 0.55 conversion proxy, something is working, but we do not have the verbatim close language to characterize or coach it. Recommend instrumenting close detection before the next review cycle.</w:t>
      </w:r>
    </w:p>
    <w:p>
      <w:r>
        <w:t>**Coaching priority: customer-facing ownership when another agent's work fails.** The Carolyn Disney cruise call (sentiment -0.85, rebooking) is the clearest development moment. The customer arrives ready to transact — "We're ready to book. We're ready to give credit cards" — but is carrying a stack of failures from agent Lauren: wrong cabins, $1,000+ price gaps versus online, a handicap suite incompatible with her Walker, and 48 hours of silence. Similarly, Robert's Viking complaint escalated to "What's the point of dealing with Pavlus? I could have booked this through Viking directly." Both calls stayed at -0.85 with steady or declining trajectory, meaning Pam did not pull them back. The coaching is specific: when inheriting a broken handoff, lead with explicit ownership and a concrete recovery sequence in the first 90 seconds, before the customer relitigates the prior agent's failures. She does this naturally on her own bookings (the Shirley passport call, where an 85-year-old's anxiety — "I do not want to arrive at the airport and they say you can't go cause we don't have your passport number" — was worked into a completed payment plan). The skill exists; it needs to transfer to inherited messes.</w:t>
      </w:r>
    </w:p>
    <w:p>
      <w:r>
        <w:t>**Amplify: proactive outbound with good news.** The two highest-sentiment calls in the entire sample are the same pattern — Pam picking up the phone to deliver a refund Karen did not know was coming. "You made my day Pam" is not a reaction to competence; it is a reaction to being called instead of emailed. With 5,553 outbound calls already in her pattern and a Viking/Regent/Tauck-heavy luxury book where refund and price-adjustment opportunities recur, this is a scalable behavior. Protect the time on her calendar for proactive outbound-with-good-news, and consider making it a documented practice other planners can copy.</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