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Nick Bazzoni — Performance Report</w:t>
      </w:r>
    </w:p>
    <w:p>
      <w:r>
        <w:rPr>
          <w:i/>
        </w:rPr>
        <w:t>All time · 561 analyzed calls · generated 2026-05-26 21:38</w:t>
      </w:r>
    </w:p>
    <w:p>
      <w:pPr>
        <w:pStyle w:val="Heading1"/>
      </w:pPr>
      <w:r>
        <w:t>Overview</w:t>
      </w:r>
    </w:p>
    <w:p>
      <w:r>
        <w:t>Nick Bazzoni handled 561 analyzed calls from 2026-01-30 to 2026-05-23. Average customer sentiment was 0.36 (on a -1 to +1 scale), with an average call duration of 5 min 22 sec. Conversion proxy (booked + ready-to-book + rebooking ÷ total) is 38%, and the share of calls where the customer's mood improved during the call is 0%. Direction mix: inbound 158 / outbound 403.</w:t>
      </w:r>
    </w:p>
    <w:p>
      <w:r>
        <w:rPr>
          <w:b/>
        </w:rPr>
        <w:t xml:space="preserve">Top destinations handled: </w:t>
      </w:r>
      <w:r>
        <w:t>Miami (22), Rome (21), Europe (20), Alaska (20), Amsterdam (20), France (19)</w:t>
      </w:r>
    </w:p>
    <w:p>
      <w:r>
        <w:rPr>
          <w:b/>
        </w:rPr>
        <w:t xml:space="preserve">Top cruise lines handled: </w:t>
      </w:r>
      <w:r>
        <w:t>Viking (117), Silversea (28), Tauck (23), Princess (22), Royal Caribbean (21), Globus (19)</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192</w:t>
            </w:r>
          </w:p>
        </w:tc>
        <w:tc>
          <w:tcPr>
            <w:tcW w:type="dxa" w:w="2880"/>
          </w:tcPr>
          <w:p>
            <w:r>
              <w:t>34.2%</w:t>
            </w:r>
          </w:p>
        </w:tc>
      </w:tr>
      <w:tr>
        <w:tc>
          <w:tcPr>
            <w:tcW w:type="dxa" w:w="2880"/>
          </w:tcPr>
          <w:p>
            <w:r>
              <w:t>Ready to Book</w:t>
            </w:r>
          </w:p>
        </w:tc>
        <w:tc>
          <w:tcPr>
            <w:tcW w:type="dxa" w:w="2880"/>
          </w:tcPr>
          <w:p>
            <w:r>
              <w:t>108</w:t>
            </w:r>
          </w:p>
        </w:tc>
        <w:tc>
          <w:tcPr>
            <w:tcW w:type="dxa" w:w="2880"/>
          </w:tcPr>
          <w:p>
            <w:r>
              <w:t>19.3%</w:t>
            </w:r>
          </w:p>
        </w:tc>
      </w:tr>
      <w:tr>
        <w:tc>
          <w:tcPr>
            <w:tcW w:type="dxa" w:w="2880"/>
          </w:tcPr>
          <w:p>
            <w:r>
              <w:t>Support</w:t>
            </w:r>
          </w:p>
        </w:tc>
        <w:tc>
          <w:tcPr>
            <w:tcW w:type="dxa" w:w="2880"/>
          </w:tcPr>
          <w:p>
            <w:r>
              <w:t>78</w:t>
            </w:r>
          </w:p>
        </w:tc>
        <w:tc>
          <w:tcPr>
            <w:tcW w:type="dxa" w:w="2880"/>
          </w:tcPr>
          <w:p>
            <w:r>
              <w:t>13.9%</w:t>
            </w:r>
          </w:p>
        </w:tc>
      </w:tr>
      <w:tr>
        <w:tc>
          <w:tcPr>
            <w:tcW w:type="dxa" w:w="2880"/>
          </w:tcPr>
          <w:p>
            <w:r>
              <w:t>Other</w:t>
            </w:r>
          </w:p>
        </w:tc>
        <w:tc>
          <w:tcPr>
            <w:tcW w:type="dxa" w:w="2880"/>
          </w:tcPr>
          <w:p>
            <w:r>
              <w:t>76</w:t>
            </w:r>
          </w:p>
        </w:tc>
        <w:tc>
          <w:tcPr>
            <w:tcW w:type="dxa" w:w="2880"/>
          </w:tcPr>
          <w:p>
            <w:r>
              <w:t>13.5%</w:t>
            </w:r>
          </w:p>
        </w:tc>
      </w:tr>
      <w:tr>
        <w:tc>
          <w:tcPr>
            <w:tcW w:type="dxa" w:w="2880"/>
          </w:tcPr>
          <w:p>
            <w:r>
              <w:t>Booked</w:t>
            </w:r>
          </w:p>
        </w:tc>
        <w:tc>
          <w:tcPr>
            <w:tcW w:type="dxa" w:w="2880"/>
          </w:tcPr>
          <w:p>
            <w:r>
              <w:t>66</w:t>
            </w:r>
          </w:p>
        </w:tc>
        <w:tc>
          <w:tcPr>
            <w:tcW w:type="dxa" w:w="2880"/>
          </w:tcPr>
          <w:p>
            <w:r>
              <w:t>11.8%</w:t>
            </w:r>
          </w:p>
        </w:tc>
      </w:tr>
      <w:tr>
        <w:tc>
          <w:tcPr>
            <w:tcW w:type="dxa" w:w="2880"/>
          </w:tcPr>
          <w:p>
            <w:r>
              <w:t>Rebooking</w:t>
            </w:r>
          </w:p>
        </w:tc>
        <w:tc>
          <w:tcPr>
            <w:tcW w:type="dxa" w:w="2880"/>
          </w:tcPr>
          <w:p>
            <w:r>
              <w:t>38</w:t>
            </w:r>
          </w:p>
        </w:tc>
        <w:tc>
          <w:tcPr>
            <w:tcW w:type="dxa" w:w="2880"/>
          </w:tcPr>
          <w:p>
            <w:r>
              <w:t>6.8%</w:t>
            </w:r>
          </w:p>
        </w:tc>
      </w:tr>
      <w:tr>
        <w:tc>
          <w:tcPr>
            <w:tcW w:type="dxa" w:w="2880"/>
          </w:tcPr>
          <w:p>
            <w:r>
              <w:t>Complaint</w:t>
            </w:r>
          </w:p>
        </w:tc>
        <w:tc>
          <w:tcPr>
            <w:tcW w:type="dxa" w:w="2880"/>
          </w:tcPr>
          <w:p>
            <w:r>
              <w:t>3</w:t>
            </w:r>
          </w:p>
        </w:tc>
        <w:tc>
          <w:tcPr>
            <w:tcW w:type="dxa" w:w="2880"/>
          </w:tcPr>
          <w:p>
            <w:r>
              <w:t>0.5%</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291</w:t>
            </w:r>
          </w:p>
        </w:tc>
        <w:tc>
          <w:tcPr>
            <w:tcW w:type="dxa" w:w="2880"/>
          </w:tcPr>
          <w:p>
            <w:r>
              <w:t>51.9%</w:t>
            </w:r>
          </w:p>
        </w:tc>
      </w:tr>
      <w:tr>
        <w:tc>
          <w:tcPr>
            <w:tcW w:type="dxa" w:w="2880"/>
          </w:tcPr>
          <w:p>
            <w:r>
              <w:t>Neutral</w:t>
            </w:r>
          </w:p>
        </w:tc>
        <w:tc>
          <w:tcPr>
            <w:tcW w:type="dxa" w:w="2880"/>
          </w:tcPr>
          <w:p>
            <w:r>
              <w:t>217</w:t>
            </w:r>
          </w:p>
        </w:tc>
        <w:tc>
          <w:tcPr>
            <w:tcW w:type="dxa" w:w="2880"/>
          </w:tcPr>
          <w:p>
            <w:r>
              <w:t>38.7%</w:t>
            </w:r>
          </w:p>
        </w:tc>
      </w:tr>
      <w:tr>
        <w:tc>
          <w:tcPr>
            <w:tcW w:type="dxa" w:w="2880"/>
          </w:tcPr>
          <w:p>
            <w:r>
              <w:t>Negative</w:t>
            </w:r>
          </w:p>
        </w:tc>
        <w:tc>
          <w:tcPr>
            <w:tcW w:type="dxa" w:w="2880"/>
          </w:tcPr>
          <w:p>
            <w:r>
              <w:t>33</w:t>
            </w:r>
          </w:p>
        </w:tc>
        <w:tc>
          <w:tcPr>
            <w:tcW w:type="dxa" w:w="2880"/>
          </w:tcPr>
          <w:p>
            <w:r>
              <w:t>5.9%</w:t>
            </w:r>
          </w:p>
        </w:tc>
      </w:tr>
      <w:tr>
        <w:tc>
          <w:tcPr>
            <w:tcW w:type="dxa" w:w="2880"/>
          </w:tcPr>
          <w:p>
            <w:r>
              <w:t>Very Positive</w:t>
            </w:r>
          </w:p>
        </w:tc>
        <w:tc>
          <w:tcPr>
            <w:tcW w:type="dxa" w:w="2880"/>
          </w:tcPr>
          <w:p>
            <w:r>
              <w:t>19</w:t>
            </w:r>
          </w:p>
        </w:tc>
        <w:tc>
          <w:tcPr>
            <w:tcW w:type="dxa" w:w="2880"/>
          </w:tcPr>
          <w:p>
            <w:r>
              <w:t>3.4%</w:t>
            </w:r>
          </w:p>
        </w:tc>
      </w:tr>
      <w:tr>
        <w:tc>
          <w:tcPr>
            <w:tcW w:type="dxa" w:w="2880"/>
          </w:tcPr>
          <w:p>
            <w:r>
              <w:t>Very Negative</w:t>
            </w:r>
          </w:p>
        </w:tc>
        <w:tc>
          <w:tcPr>
            <w:tcW w:type="dxa" w:w="2880"/>
          </w:tcPr>
          <w:p>
            <w:r>
              <w:t>1</w:t>
            </w:r>
          </w:p>
        </w:tc>
        <w:tc>
          <w:tcPr>
            <w:tcW w:type="dxa" w:w="2880"/>
          </w:tcPr>
          <w:p>
            <w:r>
              <w:t>0.2%</w:t>
            </w:r>
          </w:p>
        </w:tc>
      </w:tr>
    </w:tbl>
    <w:p>
      <w:r>
        <w:rPr>
          <w:b/>
        </w:rPr>
        <w:t xml:space="preserve">Numeric average sentiment: </w:t>
      </w:r>
      <w:r>
        <w:rPr>
          <w:i w:val="0"/>
        </w:rPr>
        <w:t xml:space="preserve">0.36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447</w:t>
            </w:r>
          </w:p>
        </w:tc>
        <w:tc>
          <w:tcPr>
            <w:tcW w:type="dxa" w:w="2880"/>
          </w:tcPr>
          <w:p>
            <w:r>
              <w:t>79.7%</w:t>
            </w:r>
          </w:p>
        </w:tc>
      </w:tr>
      <w:tr>
        <w:tc>
          <w:tcPr>
            <w:tcW w:type="dxa" w:w="2880"/>
          </w:tcPr>
          <w:p>
            <w:r>
              <w:t>Improving</w:t>
            </w:r>
          </w:p>
        </w:tc>
        <w:tc>
          <w:tcPr>
            <w:tcW w:type="dxa" w:w="2880"/>
          </w:tcPr>
          <w:p>
            <w:r>
              <w:t>96</w:t>
            </w:r>
          </w:p>
        </w:tc>
        <w:tc>
          <w:tcPr>
            <w:tcW w:type="dxa" w:w="2880"/>
          </w:tcPr>
          <w:p>
            <w:r>
              <w:t>17.1%</w:t>
            </w:r>
          </w:p>
        </w:tc>
      </w:tr>
      <w:tr>
        <w:tc>
          <w:tcPr>
            <w:tcW w:type="dxa" w:w="2880"/>
          </w:tcPr>
          <w:p>
            <w:r>
              <w:t>Declining</w:t>
            </w:r>
          </w:p>
        </w:tc>
        <w:tc>
          <w:tcPr>
            <w:tcW w:type="dxa" w:w="2880"/>
          </w:tcPr>
          <w:p>
            <w:r>
              <w:t>17</w:t>
            </w:r>
          </w:p>
        </w:tc>
        <w:tc>
          <w:tcPr>
            <w:tcW w:type="dxa" w:w="2880"/>
          </w:tcPr>
          <w:p>
            <w:r>
              <w:t>3.0%</w:t>
            </w:r>
          </w:p>
        </w:tc>
      </w:tr>
      <w:tr>
        <w:tc>
          <w:tcPr>
            <w:tcW w:type="dxa" w:w="2880"/>
          </w:tcPr>
          <w:p>
            <w:r>
              <w:t>Mixed</w:t>
            </w:r>
          </w:p>
        </w:tc>
        <w:tc>
          <w:tcPr>
            <w:tcW w:type="dxa" w:w="2880"/>
          </w:tcPr>
          <w:p>
            <w:r>
              <w:t>1</w:t>
            </w:r>
          </w:p>
        </w:tc>
        <w:tc>
          <w:tcPr>
            <w:tcW w:type="dxa" w:w="2880"/>
          </w:tcPr>
          <w:p>
            <w:r>
              <w:t>0.2%</w:t>
            </w:r>
          </w:p>
        </w:tc>
      </w:tr>
    </w:tbl>
    <w:p>
      <w:pPr>
        <w:pStyle w:val="Heading1"/>
      </w:pPr>
      <w:r>
        <w:t>What the numbers tell us</w:t>
      </w:r>
    </w:p>
    <w:p>
      <w:r>
        <w:t># What the numbers tell us — Nick Bazzoni</w:t>
      </w:r>
    </w:p>
    <w:p>
      <w:r>
        <w:t>**Standing relative to the team.** Nick is operating at or slightly above team benchmarks on the metric that matters most for revenue: conversion proxy of 0.38 vs. team 0.35. That's a real edge across a meaningful sample (561 calls). Sentiment is a touch below team average (0.36 vs. 0.39), but 55.3% of his calls land positive or very positive, and only 6.1% are negative or very negative — the room is generally with him. The one concern worth flagging up front: improving-trajectory share is 17.1%, which is materially above the team's 0.00 reference, so he is actually moving conversations forward on roughly one in six calls. Read together, Nick is a closer who occasionally absorbs sentiment hits from inherited or structural issues rather than self-inflicted ones (see Arthur and Dana below).</w:t>
      </w:r>
    </w:p>
    <w:p>
      <w:r>
        <w:t>**Volume and mix.** 561 calls is a heavy book. The intent mix is healthy for a revenue-producing planner: 19.3% ready_to_book + 11.8% booked = 31.1% of calls in or adjacent to the transaction, with another 34.2% in research. Support sits at 13.9% and rebooking at 6.8% — appropriate, not bloated. Complaints are 0.5% (3 calls), which is low. Outbound-to-inbound runs 403:158, so he is doing the prospecting work, not just catching warm inbounds. Viking dominates his book (117 calls) with Silversea, Tauck, and Princess as secondary lines — he has clearly built product depth in premium/river/expedition, which matches the destination mix (Rome, Amsterdam, Alaska, Paris).</w:t>
      </w:r>
    </w:p>
    <w:p>
      <w:r>
        <w:t>**Sentiment and trajectory — moving the room, not just managing it.** 79.7% steady, 17.1% improved, 3.0% declined. The improved share is the standout. The Marilyn call is a clean example: she opened with sticker shock ("original $25,000 quote is too expensive… we're kind of trying to keep it between like $18 and twenty") and ended at sentiment 0.45, improved trajectory, with a concrete research ask. Jim's call shows the same pattern — entered frustrated that his Viking quote "lacked cabin type and pricing detail specifics," exited at 0.70 sentiment with veranda/French balcony interest confirmed. Johnny went from a waitlisted Oceana dead-end to three specific Regent itineraries with a budget ceiling and email on file. Nick is genuinely converting research-stage skepticism into qualified pipeline.</w:t>
      </w:r>
    </w:p>
    <w:p>
      <w:r>
        <w:t>**Closing technique.** Where the data shows a closing attempt, the close lands. Both Christy and Catherine were tagged direct / closed_in_call. The language is low-pressure and procedural rather than pushy: "I can actually place a price hold for you. It'll secure the room. It'll secure the pricing for you and then you'll have a 72 hours," and "if you guys don't mind while I've got you on the phone I'll go through it I can make these price holds while, while I've got you guys on the phone." With Catherine: "you just want to pay the deposit today then" — followed immediately by card-on-file confirmation. This is textbook assumptive close behavior with an out (the hold) baked in. The concern is that closing_attempt is null on every researching and high-objection example provided, including ones with clear buying signals (Johnny gave a budget, dates, and an email; Marilyn gave a budget range and committed travel companions). He closes when ready_to_book is obvious; he does not appear to test-close earlier in the funnel.</w:t>
      </w:r>
    </w:p>
    <w:p>
      <w:r>
        <w:t>**Coaching priority — test-close at the research stage.** The single development item is converting late-research buying signals into a soft commitment in-call rather than punting to email follow-up. Johnny literally told him: *"I want to be the Smarty Johnny that gets the really good price, Nick. I'm not playing games I have no time to waste."* That is a customer asking to be closed. The call ended with no closing_attempt logged. Same shape on the Christy call — two missed signals flagged, including "I'm dying to do" Christmas market cruises with no follow-up calendar action taken. Coaching ask: when a researching customer volunteers a budget ceiling, a hard date window, and an email, Nick should be offering a price hold or a scheduled callback with options pre-pulled, in the same call.</w:t>
      </w:r>
    </w:p>
    <w:p>
      <w:r>
        <w:t>**What to amplify — the procedural, hold-based close.** Protect and scale the price-hold-while-we're-on-the-phone move. It is doing real work: it removes urgency theater, gives the customer a 72-hour out, and converts in-call. Christy's group booked two cabins, full passport info, and deposit in one session because Nick offered to "make these price holds while I've got you guys on the phone." That phrasing should be documented and taught to the rest of the team. Pair this with his demonstrated product depth on Viking (117 calls) and the result is a closer who earns trust through competence rather than pressure — that's the asset to build around.</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