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Melissa Pool — Performance Report</w:t>
      </w:r>
    </w:p>
    <w:p>
      <w:r>
        <w:rPr>
          <w:i/>
        </w:rPr>
        <w:t>All time · 7501 analyzed calls · generated 2026-05-26 21:32</w:t>
      </w:r>
    </w:p>
    <w:p>
      <w:pPr>
        <w:pStyle w:val="Heading1"/>
      </w:pPr>
      <w:r>
        <w:t>Overview</w:t>
      </w:r>
    </w:p>
    <w:p>
      <w:r>
        <w:t>Melissa Pool handled 7,501 analyzed calls from 2023-07-17 to 2026-05-24. Average customer sentiment was 0.41 (on a -1 to +1 scale), with an average call duration of 7 min 2 sec. Conversion proxy (booked + ready-to-book + rebooking ÷ total) is 51%, and the share of calls where the customer's mood improved during the call is 0%. Direction mix: inbound 1,352 / outbound 6,149.</w:t>
      </w:r>
    </w:p>
    <w:p>
      <w:r>
        <w:rPr>
          <w:b/>
        </w:rPr>
        <w:t xml:space="preserve">Top destinations handled: </w:t>
      </w:r>
      <w:r>
        <w:t>Europe (434), Amsterdam (334), London (287), Alaska (279), Paris (274), Scotland (256)</w:t>
      </w:r>
    </w:p>
    <w:p>
      <w:r>
        <w:rPr>
          <w:b/>
        </w:rPr>
        <w:t xml:space="preserve">Top cruise lines handled: </w:t>
      </w:r>
      <w:r>
        <w:t>Viking (1445), Viking River Cruises (781), Viking River Link (355), Globus (256), Royal Caribbean (238), Regent (237)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1,574</w:t>
            </w:r>
          </w:p>
        </w:tc>
        <w:tc>
          <w:tcPr>
            <w:tcW w:type="dxa" w:w="2880"/>
          </w:tcPr>
          <w:p>
            <w:r>
              <w:t>21.0%</w:t>
            </w:r>
          </w:p>
        </w:tc>
      </w:tr>
      <w:tr>
        <w:tc>
          <w:tcPr>
            <w:tcW w:type="dxa" w:w="2880"/>
          </w:tcPr>
          <w:p>
            <w:r>
              <w:t>Support</w:t>
            </w:r>
          </w:p>
        </w:tc>
        <w:tc>
          <w:tcPr>
            <w:tcW w:type="dxa" w:w="2880"/>
          </w:tcPr>
          <w:p>
            <w:r>
              <w:t>1,511</w:t>
            </w:r>
          </w:p>
        </w:tc>
        <w:tc>
          <w:tcPr>
            <w:tcW w:type="dxa" w:w="2880"/>
          </w:tcPr>
          <w:p>
            <w:r>
              <w:t>20.1%</w:t>
            </w:r>
          </w:p>
        </w:tc>
      </w:tr>
      <w:tr>
        <w:tc>
          <w:tcPr>
            <w:tcW w:type="dxa" w:w="2880"/>
          </w:tcPr>
          <w:p>
            <w:r>
              <w:t>Researching</w:t>
            </w:r>
          </w:p>
        </w:tc>
        <w:tc>
          <w:tcPr>
            <w:tcW w:type="dxa" w:w="2880"/>
          </w:tcPr>
          <w:p>
            <w:r>
              <w:t>1,445</w:t>
            </w:r>
          </w:p>
        </w:tc>
        <w:tc>
          <w:tcPr>
            <w:tcW w:type="dxa" w:w="2880"/>
          </w:tcPr>
          <w:p>
            <w:r>
              <w:t>19.3%</w:t>
            </w:r>
          </w:p>
        </w:tc>
      </w:tr>
      <w:tr>
        <w:tc>
          <w:tcPr>
            <w:tcW w:type="dxa" w:w="2880"/>
          </w:tcPr>
          <w:p>
            <w:r>
              <w:t>Rebooking</w:t>
            </w:r>
          </w:p>
        </w:tc>
        <w:tc>
          <w:tcPr>
            <w:tcW w:type="dxa" w:w="2880"/>
          </w:tcPr>
          <w:p>
            <w:r>
              <w:t>1,267</w:t>
            </w:r>
          </w:p>
        </w:tc>
        <w:tc>
          <w:tcPr>
            <w:tcW w:type="dxa" w:w="2880"/>
          </w:tcPr>
          <w:p>
            <w:r>
              <w:t>16.9%</w:t>
            </w:r>
          </w:p>
        </w:tc>
      </w:tr>
      <w:tr>
        <w:tc>
          <w:tcPr>
            <w:tcW w:type="dxa" w:w="2880"/>
          </w:tcPr>
          <w:p>
            <w:r>
              <w:t>Booked</w:t>
            </w:r>
          </w:p>
        </w:tc>
        <w:tc>
          <w:tcPr>
            <w:tcW w:type="dxa" w:w="2880"/>
          </w:tcPr>
          <w:p>
            <w:r>
              <w:t>980</w:t>
            </w:r>
          </w:p>
        </w:tc>
        <w:tc>
          <w:tcPr>
            <w:tcW w:type="dxa" w:w="2880"/>
          </w:tcPr>
          <w:p>
            <w:r>
              <w:t>13.1%</w:t>
            </w:r>
          </w:p>
        </w:tc>
      </w:tr>
      <w:tr>
        <w:tc>
          <w:tcPr>
            <w:tcW w:type="dxa" w:w="2880"/>
          </w:tcPr>
          <w:p>
            <w:r>
              <w:t>Other</w:t>
            </w:r>
          </w:p>
        </w:tc>
        <w:tc>
          <w:tcPr>
            <w:tcW w:type="dxa" w:w="2880"/>
          </w:tcPr>
          <w:p>
            <w:r>
              <w:t>606</w:t>
            </w:r>
          </w:p>
        </w:tc>
        <w:tc>
          <w:tcPr>
            <w:tcW w:type="dxa" w:w="2880"/>
          </w:tcPr>
          <w:p>
            <w:r>
              <w:t>8.1%</w:t>
            </w:r>
          </w:p>
        </w:tc>
      </w:tr>
      <w:tr>
        <w:tc>
          <w:tcPr>
            <w:tcW w:type="dxa" w:w="2880"/>
          </w:tcPr>
          <w:p>
            <w:r>
              <w:t>Complaint</w:t>
            </w:r>
          </w:p>
        </w:tc>
        <w:tc>
          <w:tcPr>
            <w:tcW w:type="dxa" w:w="2880"/>
          </w:tcPr>
          <w:p>
            <w:r>
              <w:t>62</w:t>
            </w:r>
          </w:p>
        </w:tc>
        <w:tc>
          <w:tcPr>
            <w:tcW w:type="dxa" w:w="2880"/>
          </w:tcPr>
          <w:p>
            <w:r>
              <w:t>0.8%</w:t>
            </w:r>
          </w:p>
        </w:tc>
      </w:tr>
      <w:tr>
        <w:tc>
          <w:tcPr>
            <w:tcW w:type="dxa" w:w="2880"/>
          </w:tcPr>
          <w:p>
            <w:r>
              <w:t>Post-Trip</w:t>
            </w:r>
          </w:p>
        </w:tc>
        <w:tc>
          <w:tcPr>
            <w:tcW w:type="dxa" w:w="2880"/>
          </w:tcPr>
          <w:p>
            <w:r>
              <w:t>52</w:t>
            </w:r>
          </w:p>
        </w:tc>
        <w:tc>
          <w:tcPr>
            <w:tcW w:type="dxa" w:w="2880"/>
          </w:tcPr>
          <w:p>
            <w:r>
              <w:t>0.7%</w:t>
            </w:r>
          </w:p>
        </w:tc>
      </w:tr>
      <w:tr>
        <w:tc>
          <w:tcPr>
            <w:tcW w:type="dxa" w:w="2880"/>
          </w:tcPr>
          <w:p>
            <w:r>
              <w:t>unknown</w:t>
            </w:r>
          </w:p>
        </w:tc>
        <w:tc>
          <w:tcPr>
            <w:tcW w:type="dxa" w:w="2880"/>
          </w:tcPr>
          <w:p>
            <w:r>
              <w:t>2</w:t>
            </w:r>
          </w:p>
        </w:tc>
        <w:tc>
          <w:tcPr>
            <w:tcW w:type="dxa" w:w="2880"/>
          </w:tcPr>
          <w:p>
            <w:r>
              <w:t>0.0%</w:t>
            </w:r>
          </w:p>
        </w:tc>
      </w:tr>
      <w:tr>
        <w:tc>
          <w:tcPr>
            <w:tcW w:type="dxa" w:w="2880"/>
          </w:tcPr>
          <w:p>
            <w:r>
              <w:t>voicemail</w:t>
            </w:r>
          </w:p>
        </w:tc>
        <w:tc>
          <w:tcPr>
            <w:tcW w:type="dxa" w:w="2880"/>
          </w:tcPr>
          <w:p>
            <w:r>
              <w:t>1</w:t>
            </w:r>
          </w:p>
        </w:tc>
        <w:tc>
          <w:tcPr>
            <w:tcW w:type="dxa" w:w="2880"/>
          </w:tcPr>
          <w:p>
            <w:r>
              <w:t>0.0%</w:t>
            </w:r>
          </w:p>
        </w:tc>
      </w:tr>
      <w:tr>
        <w:tc>
          <w:tcPr>
            <w:tcW w:type="dxa" w:w="2880"/>
          </w:tcPr>
          <w:p>
            <w:r>
              <w:t>post_inquiry</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4,613</w:t>
            </w:r>
          </w:p>
        </w:tc>
        <w:tc>
          <w:tcPr>
            <w:tcW w:type="dxa" w:w="2880"/>
          </w:tcPr>
          <w:p>
            <w:r>
              <w:t>61.5%</w:t>
            </w:r>
          </w:p>
        </w:tc>
      </w:tr>
      <w:tr>
        <w:tc>
          <w:tcPr>
            <w:tcW w:type="dxa" w:w="2880"/>
          </w:tcPr>
          <w:p>
            <w:r>
              <w:t>Neutral</w:t>
            </w:r>
          </w:p>
        </w:tc>
        <w:tc>
          <w:tcPr>
            <w:tcW w:type="dxa" w:w="2880"/>
          </w:tcPr>
          <w:p>
            <w:r>
              <w:t>2,062</w:t>
            </w:r>
          </w:p>
        </w:tc>
        <w:tc>
          <w:tcPr>
            <w:tcW w:type="dxa" w:w="2880"/>
          </w:tcPr>
          <w:p>
            <w:r>
              <w:t>27.5%</w:t>
            </w:r>
          </w:p>
        </w:tc>
      </w:tr>
      <w:tr>
        <w:tc>
          <w:tcPr>
            <w:tcW w:type="dxa" w:w="2880"/>
          </w:tcPr>
          <w:p>
            <w:r>
              <w:t>Negative</w:t>
            </w:r>
          </w:p>
        </w:tc>
        <w:tc>
          <w:tcPr>
            <w:tcW w:type="dxa" w:w="2880"/>
          </w:tcPr>
          <w:p>
            <w:r>
              <w:t>624</w:t>
            </w:r>
          </w:p>
        </w:tc>
        <w:tc>
          <w:tcPr>
            <w:tcW w:type="dxa" w:w="2880"/>
          </w:tcPr>
          <w:p>
            <w:r>
              <w:t>8.3%</w:t>
            </w:r>
          </w:p>
        </w:tc>
      </w:tr>
      <w:tr>
        <w:tc>
          <w:tcPr>
            <w:tcW w:type="dxa" w:w="2880"/>
          </w:tcPr>
          <w:p>
            <w:r>
              <w:t>Very Positive</w:t>
            </w:r>
          </w:p>
        </w:tc>
        <w:tc>
          <w:tcPr>
            <w:tcW w:type="dxa" w:w="2880"/>
          </w:tcPr>
          <w:p>
            <w:r>
              <w:t>161</w:t>
            </w:r>
          </w:p>
        </w:tc>
        <w:tc>
          <w:tcPr>
            <w:tcW w:type="dxa" w:w="2880"/>
          </w:tcPr>
          <w:p>
            <w:r>
              <w:t>2.1%</w:t>
            </w:r>
          </w:p>
        </w:tc>
      </w:tr>
      <w:tr>
        <w:tc>
          <w:tcPr>
            <w:tcW w:type="dxa" w:w="2880"/>
          </w:tcPr>
          <w:p>
            <w:r>
              <w:t>Very Negative</w:t>
            </w:r>
          </w:p>
        </w:tc>
        <w:tc>
          <w:tcPr>
            <w:tcW w:type="dxa" w:w="2880"/>
          </w:tcPr>
          <w:p>
            <w:r>
              <w:t>41</w:t>
            </w:r>
          </w:p>
        </w:tc>
        <w:tc>
          <w:tcPr>
            <w:tcW w:type="dxa" w:w="2880"/>
          </w:tcPr>
          <w:p>
            <w:r>
              <w:t>0.5%</w:t>
            </w:r>
          </w:p>
        </w:tc>
      </w:tr>
    </w:tbl>
    <w:p>
      <w:r>
        <w:rPr>
          <w:b/>
        </w:rPr>
        <w:t xml:space="preserve">Numeric average sentiment: </w:t>
      </w:r>
      <w:r>
        <w:rPr>
          <w:i w:val="0"/>
        </w:rPr>
        <w:t xml:space="preserve">0.41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5,618</w:t>
            </w:r>
          </w:p>
        </w:tc>
        <w:tc>
          <w:tcPr>
            <w:tcW w:type="dxa" w:w="2880"/>
          </w:tcPr>
          <w:p>
            <w:r>
              <w:t>74.9%</w:t>
            </w:r>
          </w:p>
        </w:tc>
      </w:tr>
      <w:tr>
        <w:tc>
          <w:tcPr>
            <w:tcW w:type="dxa" w:w="2880"/>
          </w:tcPr>
          <w:p>
            <w:r>
              <w:t>Improving</w:t>
            </w:r>
          </w:p>
        </w:tc>
        <w:tc>
          <w:tcPr>
            <w:tcW w:type="dxa" w:w="2880"/>
          </w:tcPr>
          <w:p>
            <w:r>
              <w:t>1,588</w:t>
            </w:r>
          </w:p>
        </w:tc>
        <w:tc>
          <w:tcPr>
            <w:tcW w:type="dxa" w:w="2880"/>
          </w:tcPr>
          <w:p>
            <w:r>
              <w:t>21.2%</w:t>
            </w:r>
          </w:p>
        </w:tc>
      </w:tr>
      <w:tr>
        <w:tc>
          <w:tcPr>
            <w:tcW w:type="dxa" w:w="2880"/>
          </w:tcPr>
          <w:p>
            <w:r>
              <w:t>Declining</w:t>
            </w:r>
          </w:p>
        </w:tc>
        <w:tc>
          <w:tcPr>
            <w:tcW w:type="dxa" w:w="2880"/>
          </w:tcPr>
          <w:p>
            <w:r>
              <w:t>192</w:t>
            </w:r>
          </w:p>
        </w:tc>
        <w:tc>
          <w:tcPr>
            <w:tcW w:type="dxa" w:w="2880"/>
          </w:tcPr>
          <w:p>
            <w:r>
              <w:t>2.6%</w:t>
            </w:r>
          </w:p>
        </w:tc>
      </w:tr>
      <w:tr>
        <w:tc>
          <w:tcPr>
            <w:tcW w:type="dxa" w:w="2880"/>
          </w:tcPr>
          <w:p>
            <w:r>
              <w:t>Mixed</w:t>
            </w:r>
          </w:p>
        </w:tc>
        <w:tc>
          <w:tcPr>
            <w:tcW w:type="dxa" w:w="2880"/>
          </w:tcPr>
          <w:p>
            <w:r>
              <w:t>103</w:t>
            </w:r>
          </w:p>
        </w:tc>
        <w:tc>
          <w:tcPr>
            <w:tcW w:type="dxa" w:w="2880"/>
          </w:tcPr>
          <w:p>
            <w:r>
              <w:t>1.4%</w:t>
            </w:r>
          </w:p>
        </w:tc>
      </w:tr>
    </w:tbl>
    <w:p>
      <w:pPr>
        <w:pStyle w:val="Heading1"/>
      </w:pPr>
      <w:r>
        <w:t>What the numbers tell us</w:t>
      </w:r>
    </w:p>
    <w:p>
      <w:r>
        <w:t># What the numbers tell us — Melissa Pool</w:t>
      </w:r>
    </w:p>
    <w:p>
      <w:r>
        <w:t>**Standing relative to the team.** Across 7,501 analyzed calls, Melissa runs ahead of the team on both headline metrics: average sentiment of 0.41 vs. team 0.39, and a conversion proxy of 0.51 vs. team 0.35 — a 16-point gap that is the most material finding in this report. Positive or very-positive sentiment lands on 63.6% of her calls, with only 8.8% negative or very-negative. The concern sits in trajectory: her improving share is 0.0%, identical to the team baseline, and 74.9% of her calls register as "steady." She is converting at a high rate, but she is not visibly moving rooms that start cool.</w:t>
      </w:r>
    </w:p>
    <w:p>
      <w:r>
        <w:t>**Volume and mix.** The book of work is well-balanced across the funnel: ready_to_book 21.0% (1,574), support 20.1% (1,511), researching 19.3% (1,445), rebooking 16.9% (1,267), and booked 13.1% (980). Complaint volume is negligible at 0.8%. She is doing real closing work (ready_to_book + booked = 34.1%) while still carrying a fifth of her calls in pure support — appropriate for a senior planner with a repeat-client base. Outbound dominates inbound 6,149 to 1,352, consistent with proactive client management. Destination and supplier concentration is heavy on Viking (1,445 + 781 + 355 + 218 = 2,799 calls touching Viking variants) and European river itineraries — a specialization worth noting.</w:t>
      </w:r>
    </w:p>
    <w:p>
      <w:r>
        <w:t>**Sentiment and trajectory.** She manages the room rather than swings it. Only 21.2% of calls show an "improved" trajectory and 0.0% qualify as improving overall — meaning customers who arrive happy stay happy, but cool starts rarely warm up under her. The best-example calls confirm this: Leigh ("thank you for your work on this. This is great and I'm... we're so excited about this") and Barbara ("when I married him and said now you understand if we get married I'm not going all those places... but by the time he was dying he said I'm so grateful you showed me the world") both arrived ready and stayed ready — "steady" trajectory at 0.85–0.90 sentiment. The high-objection Steve call ("It was like pulling teeth on all this stuff to get stuff done, but the ship, they're great") is one of the few that shows trajectory movement (improved/mixed), and notably she still landed a $40,000 deposit charge on card ending 8135 mid-complaint. She can move difficult rooms — she just doesn't do it often.</w:t>
      </w:r>
    </w:p>
    <w:p>
      <w:r>
        <w:t>**Closing technique.** No signal. Across every best, worst, and high-objection example provided, closing_attempt, close_outcome, close_language, and missed_signals are all null or empty. We cannot evaluate explicit close mechanics from this data. What we can say is that the 0.51 conversion proxy implies closes are happening — they're just not being captured as discrete close moments in the transcript tagging. The Barbara call shows the pattern: cabin selected (Penthouse Veranda PV3), insurance agreed, payment timeline extended to September 2027, room held — all forward motion, no single "ask for the business" beat logged.</w:t>
      </w:r>
    </w:p>
    <w:p>
      <w:r>
        <w:t>**Coaching priority: warming the cold room.** The 0.0% improving share is the one number to work on. Her strength is execution with warm, repeat, high-intent clients; her gap is the cool-start conversion. The Betty call is the moment to study — Betty walked in hot on price frustration ("We want the best, the best deal... it seems like fake advertising the pre Black Friday that keeps they expire in ten hours, eight hours") and Melissa "spent significant time establishing personal rapport, discussing her dog's illness before addressing the booking." It worked (trajectory improved, sentiment 0.65), but the rapport-first move is slow and doesn't scale to her 7,500-call volume. Coach toward a faster acknowledge-and-pivot on price-skeptic openers so the trajectory lift happens in minute two, not minute fifteen.</w:t>
      </w:r>
    </w:p>
    <w:p>
      <w:r>
        <w:t>**What to amplify: the high-trust, high-ticket finalization.** Protect what Barbara represents. A client booking a 37-day Grand Africa and Asian Explorer for an 80th birthday, choosing the $17,108 Penthouse Veranda over the $14,101 DV1, authorizing a hold pending a friend's confirmation, agreeing to insurance, and texting her booking coordinator mid-call — that is the asset. Quote to circulate internally: "that was one of the things that I always said about my travel agent... please stay long enough that you can give me something for free." Melissa's repeat-client trust on premium itineraries (Viking, Silversea, Regent) is the engine behind the 0.51 conversion. Assign her the high-ticket Viking and luxury cruise inbound queue and route cool-lead price-shoppers to planners whose improving-share is non-zero until the coaching above lands.</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