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Mandy Mac Mullin — Performance Report</w:t>
      </w:r>
    </w:p>
    <w:p>
      <w:r>
        <w:rPr>
          <w:i/>
        </w:rPr>
        <w:t>All time · 10076 analyzed calls · generated 2026-05-26 21:29</w:t>
      </w:r>
    </w:p>
    <w:p>
      <w:pPr>
        <w:pStyle w:val="Heading1"/>
      </w:pPr>
      <w:r>
        <w:t>Overview</w:t>
      </w:r>
    </w:p>
    <w:p>
      <w:r>
        <w:t>Mandy Mac Mullin handled 10,076 analyzed calls from 2023-07-03 to 2026-05-21. Average customer sentiment was 0.49 (on a -1 to +1 scale), with an average call duration of 8 min 10 sec. Conversion proxy (booked + ready-to-book + rebooking ÷ total) is 50%, and the share of calls where the customer's mood improved during the call is 0%. Direction mix: inbound 3,791 / outbound 6,285.</w:t>
      </w:r>
    </w:p>
    <w:p>
      <w:r>
        <w:rPr>
          <w:b/>
        </w:rPr>
        <w:t xml:space="preserve">Top destinations handled: </w:t>
      </w:r>
      <w:r>
        <w:t>Amsterdam (460), Europe (437), Paris (356), London (350), Alaska (336), Miami (322)</w:t>
      </w:r>
    </w:p>
    <w:p>
      <w:r>
        <w:rPr>
          <w:b/>
        </w:rPr>
        <w:t xml:space="preserve">Top cruise lines handled: </w:t>
      </w:r>
      <w:r>
        <w:t>Viking (1298), Viking River Cruises (691), Celebrity (342), Royal Caribbean (331), Silversea (329), Princess (327)</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2,442</w:t>
            </w:r>
          </w:p>
        </w:tc>
        <w:tc>
          <w:tcPr>
            <w:tcW w:type="dxa" w:w="2880"/>
          </w:tcPr>
          <w:p>
            <w:r>
              <w:t>24.2%</w:t>
            </w:r>
          </w:p>
        </w:tc>
      </w:tr>
      <w:tr>
        <w:tc>
          <w:tcPr>
            <w:tcW w:type="dxa" w:w="2880"/>
          </w:tcPr>
          <w:p>
            <w:r>
              <w:t>Support</w:t>
            </w:r>
          </w:p>
        </w:tc>
        <w:tc>
          <w:tcPr>
            <w:tcW w:type="dxa" w:w="2880"/>
          </w:tcPr>
          <w:p>
            <w:r>
              <w:t>2,207</w:t>
            </w:r>
          </w:p>
        </w:tc>
        <w:tc>
          <w:tcPr>
            <w:tcW w:type="dxa" w:w="2880"/>
          </w:tcPr>
          <w:p>
            <w:r>
              <w:t>21.9%</w:t>
            </w:r>
          </w:p>
        </w:tc>
      </w:tr>
      <w:tr>
        <w:tc>
          <w:tcPr>
            <w:tcW w:type="dxa" w:w="2880"/>
          </w:tcPr>
          <w:p>
            <w:r>
              <w:t>Researching</w:t>
            </w:r>
          </w:p>
        </w:tc>
        <w:tc>
          <w:tcPr>
            <w:tcW w:type="dxa" w:w="2880"/>
          </w:tcPr>
          <w:p>
            <w:r>
              <w:t>2,152</w:t>
            </w:r>
          </w:p>
        </w:tc>
        <w:tc>
          <w:tcPr>
            <w:tcW w:type="dxa" w:w="2880"/>
          </w:tcPr>
          <w:p>
            <w:r>
              <w:t>21.4%</w:t>
            </w:r>
          </w:p>
        </w:tc>
      </w:tr>
      <w:tr>
        <w:tc>
          <w:tcPr>
            <w:tcW w:type="dxa" w:w="2880"/>
          </w:tcPr>
          <w:p>
            <w:r>
              <w:t>Booked</w:t>
            </w:r>
          </w:p>
        </w:tc>
        <w:tc>
          <w:tcPr>
            <w:tcW w:type="dxa" w:w="2880"/>
          </w:tcPr>
          <w:p>
            <w:r>
              <w:t>1,340</w:t>
            </w:r>
          </w:p>
        </w:tc>
        <w:tc>
          <w:tcPr>
            <w:tcW w:type="dxa" w:w="2880"/>
          </w:tcPr>
          <w:p>
            <w:r>
              <w:t>13.3%</w:t>
            </w:r>
          </w:p>
        </w:tc>
      </w:tr>
      <w:tr>
        <w:tc>
          <w:tcPr>
            <w:tcW w:type="dxa" w:w="2880"/>
          </w:tcPr>
          <w:p>
            <w:r>
              <w:t>Rebooking</w:t>
            </w:r>
          </w:p>
        </w:tc>
        <w:tc>
          <w:tcPr>
            <w:tcW w:type="dxa" w:w="2880"/>
          </w:tcPr>
          <w:p>
            <w:r>
              <w:t>1,268</w:t>
            </w:r>
          </w:p>
        </w:tc>
        <w:tc>
          <w:tcPr>
            <w:tcW w:type="dxa" w:w="2880"/>
          </w:tcPr>
          <w:p>
            <w:r>
              <w:t>12.6%</w:t>
            </w:r>
          </w:p>
        </w:tc>
      </w:tr>
      <w:tr>
        <w:tc>
          <w:tcPr>
            <w:tcW w:type="dxa" w:w="2880"/>
          </w:tcPr>
          <w:p>
            <w:r>
              <w:t>Other</w:t>
            </w:r>
          </w:p>
        </w:tc>
        <w:tc>
          <w:tcPr>
            <w:tcW w:type="dxa" w:w="2880"/>
          </w:tcPr>
          <w:p>
            <w:r>
              <w:t>521</w:t>
            </w:r>
          </w:p>
        </w:tc>
        <w:tc>
          <w:tcPr>
            <w:tcW w:type="dxa" w:w="2880"/>
          </w:tcPr>
          <w:p>
            <w:r>
              <w:t>5.2%</w:t>
            </w:r>
          </w:p>
        </w:tc>
      </w:tr>
      <w:tr>
        <w:tc>
          <w:tcPr>
            <w:tcW w:type="dxa" w:w="2880"/>
          </w:tcPr>
          <w:p>
            <w:r>
              <w:t>Complaint</w:t>
            </w:r>
          </w:p>
        </w:tc>
        <w:tc>
          <w:tcPr>
            <w:tcW w:type="dxa" w:w="2880"/>
          </w:tcPr>
          <w:p>
            <w:r>
              <w:t>98</w:t>
            </w:r>
          </w:p>
        </w:tc>
        <w:tc>
          <w:tcPr>
            <w:tcW w:type="dxa" w:w="2880"/>
          </w:tcPr>
          <w:p>
            <w:r>
              <w:t>1.0%</w:t>
            </w:r>
          </w:p>
        </w:tc>
      </w:tr>
      <w:tr>
        <w:tc>
          <w:tcPr>
            <w:tcW w:type="dxa" w:w="2880"/>
          </w:tcPr>
          <w:p>
            <w:r>
              <w:t>Post-Trip</w:t>
            </w:r>
          </w:p>
        </w:tc>
        <w:tc>
          <w:tcPr>
            <w:tcW w:type="dxa" w:w="2880"/>
          </w:tcPr>
          <w:p>
            <w:r>
              <w:t>44</w:t>
            </w:r>
          </w:p>
        </w:tc>
        <w:tc>
          <w:tcPr>
            <w:tcW w:type="dxa" w:w="2880"/>
          </w:tcPr>
          <w:p>
            <w:r>
              <w:t>0.4%</w:t>
            </w:r>
          </w:p>
        </w:tc>
      </w:tr>
      <w:tr>
        <w:tc>
          <w:tcPr>
            <w:tcW w:type="dxa" w:w="2880"/>
          </w:tcPr>
          <w:p>
            <w:r>
              <w:t>voicemail</w:t>
            </w:r>
          </w:p>
        </w:tc>
        <w:tc>
          <w:tcPr>
            <w:tcW w:type="dxa" w:w="2880"/>
          </w:tcPr>
          <w:p>
            <w:r>
              <w:t>2</w:t>
            </w:r>
          </w:p>
        </w:tc>
        <w:tc>
          <w:tcPr>
            <w:tcW w:type="dxa" w:w="2880"/>
          </w:tcPr>
          <w:p>
            <w:r>
              <w:t>0.0%</w:t>
            </w:r>
          </w:p>
        </w:tc>
      </w:tr>
      <w:tr>
        <w:tc>
          <w:tcPr>
            <w:tcW w:type="dxa" w:w="2880"/>
          </w:tcPr>
          <w:p>
            <w:r>
              <w:t>referral</w:t>
            </w:r>
          </w:p>
        </w:tc>
        <w:tc>
          <w:tcPr>
            <w:tcW w:type="dxa" w:w="2880"/>
          </w:tcPr>
          <w:p>
            <w:r>
              <w:t>1</w:t>
            </w:r>
          </w:p>
        </w:tc>
        <w:tc>
          <w:tcPr>
            <w:tcW w:type="dxa" w:w="2880"/>
          </w:tcPr>
          <w:p>
            <w:r>
              <w:t>0.0%</w:t>
            </w:r>
          </w:p>
        </w:tc>
      </w:tr>
      <w:tr>
        <w:tc>
          <w:tcPr>
            <w:tcW w:type="dxa" w:w="2880"/>
          </w:tcPr>
          <w:p>
            <w:r>
              <w:t>comparison-shopping for better pricing</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6,736</w:t>
            </w:r>
          </w:p>
        </w:tc>
        <w:tc>
          <w:tcPr>
            <w:tcW w:type="dxa" w:w="2880"/>
          </w:tcPr>
          <w:p>
            <w:r>
              <w:t>66.9%</w:t>
            </w:r>
          </w:p>
        </w:tc>
      </w:tr>
      <w:tr>
        <w:tc>
          <w:tcPr>
            <w:tcW w:type="dxa" w:w="2880"/>
          </w:tcPr>
          <w:p>
            <w:r>
              <w:t>Neutral</w:t>
            </w:r>
          </w:p>
        </w:tc>
        <w:tc>
          <w:tcPr>
            <w:tcW w:type="dxa" w:w="2880"/>
          </w:tcPr>
          <w:p>
            <w:r>
              <w:t>2,335</w:t>
            </w:r>
          </w:p>
        </w:tc>
        <w:tc>
          <w:tcPr>
            <w:tcW w:type="dxa" w:w="2880"/>
          </w:tcPr>
          <w:p>
            <w:r>
              <w:t>23.2%</w:t>
            </w:r>
          </w:p>
        </w:tc>
      </w:tr>
      <w:tr>
        <w:tc>
          <w:tcPr>
            <w:tcW w:type="dxa" w:w="2880"/>
          </w:tcPr>
          <w:p>
            <w:r>
              <w:t>Negative</w:t>
            </w:r>
          </w:p>
        </w:tc>
        <w:tc>
          <w:tcPr>
            <w:tcW w:type="dxa" w:w="2880"/>
          </w:tcPr>
          <w:p>
            <w:r>
              <w:t>510</w:t>
            </w:r>
          </w:p>
        </w:tc>
        <w:tc>
          <w:tcPr>
            <w:tcW w:type="dxa" w:w="2880"/>
          </w:tcPr>
          <w:p>
            <w:r>
              <w:t>5.1%</w:t>
            </w:r>
          </w:p>
        </w:tc>
      </w:tr>
      <w:tr>
        <w:tc>
          <w:tcPr>
            <w:tcW w:type="dxa" w:w="2880"/>
          </w:tcPr>
          <w:p>
            <w:r>
              <w:t>Very Positive</w:t>
            </w:r>
          </w:p>
        </w:tc>
        <w:tc>
          <w:tcPr>
            <w:tcW w:type="dxa" w:w="2880"/>
          </w:tcPr>
          <w:p>
            <w:r>
              <w:t>478</w:t>
            </w:r>
          </w:p>
        </w:tc>
        <w:tc>
          <w:tcPr>
            <w:tcW w:type="dxa" w:w="2880"/>
          </w:tcPr>
          <w:p>
            <w:r>
              <w:t>4.7%</w:t>
            </w:r>
          </w:p>
        </w:tc>
      </w:tr>
      <w:tr>
        <w:tc>
          <w:tcPr>
            <w:tcW w:type="dxa" w:w="2880"/>
          </w:tcPr>
          <w:p>
            <w:r>
              <w:t>Very Negative</w:t>
            </w:r>
          </w:p>
        </w:tc>
        <w:tc>
          <w:tcPr>
            <w:tcW w:type="dxa" w:w="2880"/>
          </w:tcPr>
          <w:p>
            <w:r>
              <w:t>17</w:t>
            </w:r>
          </w:p>
        </w:tc>
        <w:tc>
          <w:tcPr>
            <w:tcW w:type="dxa" w:w="2880"/>
          </w:tcPr>
          <w:p>
            <w:r>
              <w:t>0.2%</w:t>
            </w:r>
          </w:p>
        </w:tc>
      </w:tr>
    </w:tbl>
    <w:p>
      <w:r>
        <w:rPr>
          <w:b/>
        </w:rPr>
        <w:t xml:space="preserve">Numeric average sentiment: </w:t>
      </w:r>
      <w:r>
        <w:rPr>
          <w:i w:val="0"/>
        </w:rPr>
        <w:t xml:space="preserve">0.49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6,813</w:t>
            </w:r>
          </w:p>
        </w:tc>
        <w:tc>
          <w:tcPr>
            <w:tcW w:type="dxa" w:w="2880"/>
          </w:tcPr>
          <w:p>
            <w:r>
              <w:t>67.6%</w:t>
            </w:r>
          </w:p>
        </w:tc>
      </w:tr>
      <w:tr>
        <w:tc>
          <w:tcPr>
            <w:tcW w:type="dxa" w:w="2880"/>
          </w:tcPr>
          <w:p>
            <w:r>
              <w:t>Improving</w:t>
            </w:r>
          </w:p>
        </w:tc>
        <w:tc>
          <w:tcPr>
            <w:tcW w:type="dxa" w:w="2880"/>
          </w:tcPr>
          <w:p>
            <w:r>
              <w:t>2,909</w:t>
            </w:r>
          </w:p>
        </w:tc>
        <w:tc>
          <w:tcPr>
            <w:tcW w:type="dxa" w:w="2880"/>
          </w:tcPr>
          <w:p>
            <w:r>
              <w:t>28.9%</w:t>
            </w:r>
          </w:p>
        </w:tc>
      </w:tr>
      <w:tr>
        <w:tc>
          <w:tcPr>
            <w:tcW w:type="dxa" w:w="2880"/>
          </w:tcPr>
          <w:p>
            <w:r>
              <w:t>Declining</w:t>
            </w:r>
          </w:p>
        </w:tc>
        <w:tc>
          <w:tcPr>
            <w:tcW w:type="dxa" w:w="2880"/>
          </w:tcPr>
          <w:p>
            <w:r>
              <w:t>270</w:t>
            </w:r>
          </w:p>
        </w:tc>
        <w:tc>
          <w:tcPr>
            <w:tcW w:type="dxa" w:w="2880"/>
          </w:tcPr>
          <w:p>
            <w:r>
              <w:t>2.7%</w:t>
            </w:r>
          </w:p>
        </w:tc>
      </w:tr>
      <w:tr>
        <w:tc>
          <w:tcPr>
            <w:tcW w:type="dxa" w:w="2880"/>
          </w:tcPr>
          <w:p>
            <w:r>
              <w:t>Mixed</w:t>
            </w:r>
          </w:p>
        </w:tc>
        <w:tc>
          <w:tcPr>
            <w:tcW w:type="dxa" w:w="2880"/>
          </w:tcPr>
          <w:p>
            <w:r>
              <w:t>84</w:t>
            </w:r>
          </w:p>
        </w:tc>
        <w:tc>
          <w:tcPr>
            <w:tcW w:type="dxa" w:w="2880"/>
          </w:tcPr>
          <w:p>
            <w:r>
              <w:t>0.8%</w:t>
            </w:r>
          </w:p>
        </w:tc>
      </w:tr>
    </w:tbl>
    <w:p>
      <w:pPr>
        <w:pStyle w:val="Heading1"/>
      </w:pPr>
      <w:r>
        <w:t>What the numbers tell us</w:t>
      </w:r>
    </w:p>
    <w:p>
      <w:r>
        <w:t># What the Numbers Tell Us — Mandy Mac Mullin</w:t>
      </w:r>
    </w:p>
    <w:p>
      <w:r>
        <w:t>## Where she stands</w:t>
      </w:r>
    </w:p>
    <w:p>
      <w:r>
        <w:t>Mandy is above the team on every headline metric. Her average sentiment of 0.49 beats the team's 0.39, her conversion proxy of 0.50 is 15 points above the 0.35 reference, and 28.9% of her calls show an improving trajectory versus a team-wide 0.00 improving share. She has handled 10,076 analyzed calls, so this is not a small-sample story — it is a durable pattern. The one concern hiding in the strength: closing_attempt, close_outcome, and close_language are null across every example we pulled (best, worst, and high-objection). We cannot evaluate her closing technique from this data because the system isn't capturing it, or she isn't using language the classifier recognizes as a close. Given her conversion proxy is high anyway, the likeliest read is that she closes through momentum rather than explicit ask language — which works, but is invisible to coaching and unrepeatable for the rest of the team.</w:t>
      </w:r>
    </w:p>
    <w:p>
      <w:r>
        <w:t>## Volume and mix</w:t>
      </w:r>
    </w:p>
    <w:p>
      <w:r>
        <w:t>The mix is healthy and broad. Ready_to_book (24.2%) and researching (21.4%) together make up nearly half her calls, meaning she's actively in the funnel, not just servicing the back end. Support sits at 21.9% and rebooking at 12.6% — substantial but not dominant. Booked confirmations are 13.3%. Complaints are only 1.0% (98 calls out of 10,076), which is low for this volume. Outbound (6,285) outweighs inbound (3,791), so she is driving roughly 62% of her own pipeline. Top destinations skew European river and ocean (Amsterdam, Paris, London, Rome, Barcelona) with Viking and Viking River accounting for nearly 2,000 bookings combined — she has clear product depth in the premium river segment.</w:t>
      </w:r>
    </w:p>
    <w:p>
      <w:r>
        <w:t>## Sentiment and trajectory</w:t>
      </w:r>
    </w:p>
    <w:p>
      <w:r>
        <w:t>She moves rooms, she doesn't just hold them. 66.9% positive plus 4.7% very_positive means 71.6% of her calls land in positive territory, and 28.9% of all calls actively improve over their duration. Only 2.7% decline. The improvement pattern is visible in the best examples — Charleen's February 8, 2026 booking call hit 0.95 sentiment with an improving trajectory, ending with the customer saying *"it was our dream that we could afford to go there and we got it. I couldn't even sleep."* That's not a transaction, that's a customer who feels seen. Similarly, the Azamara rebooking customer volunteered *"They were absolutely amazing...if you're going to do something that long you should do it on somebody you know."* She earns repeat business.</w:t>
      </w:r>
    </w:p>
    <w:p>
      <w:r>
        <w:t>## Closing technique</w:t>
      </w:r>
    </w:p>
    <w:p>
      <w:r>
        <w:t>No signal. closing_attempt, close_outcome, close_language, and missed_signals are null across all nine example calls provided. Either the field isn't being populated for her calls, or her closes don't trip the detector. Given her 0.50 conversion proxy, something is working — but we can't characterize it from this payload. Recommend a manual listen of 5–10 ready_to_book calls to document the actual close language she uses, then feed it back into the training set.</w:t>
      </w:r>
    </w:p>
    <w:p>
      <w:r>
        <w:t>## Coaching priority</w:t>
      </w:r>
    </w:p>
    <w:p>
      <w:r>
        <w:t>The complaint and recovery calls are where she is most exposed. On the Scott bike-tour call (2023-09-25, sentiment -0.85, trajectory declined), the customer asked *"How can it possibly cost more to have one person go instead of two. How in the world is that possible?"* — a fairness objection rooted in a prior agent's promise, not a Mandy mistake. But the trajectory still declined on her watch. Same pattern on the Nick privacy-breach call: *"It wasn't worth it, Mandy. It wasn't worth five times that amount of money. Just wasn't really worth it."* Both customers had real buying capacity (Nick spent $18,000 on the Egypt trip and had a Silversea cruise pending). The coaching ask: build a defined recovery playbook for inherited-problem calls — acknowledge, isolate the dollar issue, escalate fast, and protect the next-trip relationship even when this trip is lost. Her 2.7% decline rate is low, but the declines that do happen are high-value customers.</w:t>
      </w:r>
    </w:p>
    <w:p>
      <w:r>
        <w:t>## What to amplify</w:t>
      </w:r>
    </w:p>
    <w:p>
      <w:r>
        <w:t>Her discovery work on complex, constraint-heavy researching calls is the strength to scale. On the Harve anniversary call — wife with a 6–7 hour flight limit due to DVT risk, no cold weather, no layovers, no churches — she earned *"I'm willing to wait as long as you care. Just be back to me, okay?"* at 0.80 sentiment. That is a customer handing her the booking on her timeline because she made him feel the constraints were heard, not dismissed. Same pattern with Carol's Lisbon group cabin question, where Mandy researched cabin 5150's pull-out couch capacity in real time and kept a confused, multi-email-chain customer at 0.65 sentiment and steady trajectory. Document her discovery framework for constraint-driven researching calls and use it as the team template — this is where her sentiment advantage over the team (0.49 vs 0.39) is actually being earned.</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