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Lee Alvarez — Performance Report</w:t>
      </w:r>
    </w:p>
    <w:p>
      <w:r>
        <w:rPr>
          <w:i/>
        </w:rPr>
        <w:t>All time · 11177 analyzed calls · generated 2026-05-26 21:28</w:t>
      </w:r>
    </w:p>
    <w:p>
      <w:pPr>
        <w:pStyle w:val="Heading1"/>
      </w:pPr>
      <w:r>
        <w:t>Overview</w:t>
      </w:r>
    </w:p>
    <w:p>
      <w:r>
        <w:t>Lee Alvarez handled 11,177 analyzed calls from 2023-07-17 to 2026-05-20. Average customer sentiment was 0.49 (on a -1 to +1 scale), with an average call duration of 5 min 42 sec. Conversion proxy (booked + ready-to-book + rebooking ÷ total) is 51%, and the share of calls where the customer's mood improved during the call is 0%. Direction mix: inbound 3,653 / outbound 7,524.</w:t>
      </w:r>
    </w:p>
    <w:p>
      <w:r>
        <w:rPr>
          <w:b/>
        </w:rPr>
        <w:t xml:space="preserve">Top destinations handled: </w:t>
      </w:r>
      <w:r>
        <w:t>Miami (388), Alaska (385), London (366), Europe (325), Paris (324), Amsterdam (311)</w:t>
      </w:r>
    </w:p>
    <w:p>
      <w:r>
        <w:rPr>
          <w:b/>
        </w:rPr>
        <w:t xml:space="preserve">Top cruise lines handled: </w:t>
      </w:r>
      <w:r>
        <w:t>Viking (1015), Silversea (567), Viking River Cruises (471), Tauck (430), Royal Caribbean (409), Uniworld (388)</w:t>
      </w:r>
    </w:p>
    <w:p>
      <w:pPr>
        <w:pStyle w:val="Heading1"/>
      </w:pPr>
      <w:r>
        <w:t>Calls by Intent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Support</w:t>
            </w:r>
          </w:p>
        </w:tc>
        <w:tc>
          <w:tcPr>
            <w:tcW w:type="dxa" w:w="2880"/>
          </w:tcPr>
          <w:p>
            <w:r>
              <w:t>2,781</w:t>
            </w:r>
          </w:p>
        </w:tc>
        <w:tc>
          <w:tcPr>
            <w:tcW w:type="dxa" w:w="2880"/>
          </w:tcPr>
          <w:p>
            <w:r>
              <w:t>24.9%</w:t>
            </w:r>
          </w:p>
        </w:tc>
      </w:tr>
      <w:tr>
        <w:tc>
          <w:tcPr>
            <w:tcW w:type="dxa" w:w="2880"/>
          </w:tcPr>
          <w:p>
            <w:r>
              <w:t>Ready to Book</w:t>
            </w:r>
          </w:p>
        </w:tc>
        <w:tc>
          <w:tcPr>
            <w:tcW w:type="dxa" w:w="2880"/>
          </w:tcPr>
          <w:p>
            <w:r>
              <w:t>2,616</w:t>
            </w:r>
          </w:p>
        </w:tc>
        <w:tc>
          <w:tcPr>
            <w:tcW w:type="dxa" w:w="2880"/>
          </w:tcPr>
          <w:p>
            <w:r>
              <w:t>23.4%</w:t>
            </w:r>
          </w:p>
        </w:tc>
      </w:tr>
      <w:tr>
        <w:tc>
          <w:tcPr>
            <w:tcW w:type="dxa" w:w="2880"/>
          </w:tcPr>
          <w:p>
            <w:r>
              <w:t>Researching</w:t>
            </w:r>
          </w:p>
        </w:tc>
        <w:tc>
          <w:tcPr>
            <w:tcW w:type="dxa" w:w="2880"/>
          </w:tcPr>
          <w:p>
            <w:r>
              <w:t>2,053</w:t>
            </w:r>
          </w:p>
        </w:tc>
        <w:tc>
          <w:tcPr>
            <w:tcW w:type="dxa" w:w="2880"/>
          </w:tcPr>
          <w:p>
            <w:r>
              <w:t>18.4%</w:t>
            </w:r>
          </w:p>
        </w:tc>
      </w:tr>
      <w:tr>
        <w:tc>
          <w:tcPr>
            <w:tcW w:type="dxa" w:w="2880"/>
          </w:tcPr>
          <w:p>
            <w:r>
              <w:t>Booked</w:t>
            </w:r>
          </w:p>
        </w:tc>
        <w:tc>
          <w:tcPr>
            <w:tcW w:type="dxa" w:w="2880"/>
          </w:tcPr>
          <w:p>
            <w:r>
              <w:t>1,643</w:t>
            </w:r>
          </w:p>
        </w:tc>
        <w:tc>
          <w:tcPr>
            <w:tcW w:type="dxa" w:w="2880"/>
          </w:tcPr>
          <w:p>
            <w:r>
              <w:t>14.7%</w:t>
            </w:r>
          </w:p>
        </w:tc>
      </w:tr>
      <w:tr>
        <w:tc>
          <w:tcPr>
            <w:tcW w:type="dxa" w:w="2880"/>
          </w:tcPr>
          <w:p>
            <w:r>
              <w:t>Rebooking</w:t>
            </w:r>
          </w:p>
        </w:tc>
        <w:tc>
          <w:tcPr>
            <w:tcW w:type="dxa" w:w="2880"/>
          </w:tcPr>
          <w:p>
            <w:r>
              <w:t>1,454</w:t>
            </w:r>
          </w:p>
        </w:tc>
        <w:tc>
          <w:tcPr>
            <w:tcW w:type="dxa" w:w="2880"/>
          </w:tcPr>
          <w:p>
            <w:r>
              <w:t>13.0%</w:t>
            </w:r>
          </w:p>
        </w:tc>
      </w:tr>
      <w:tr>
        <w:tc>
          <w:tcPr>
            <w:tcW w:type="dxa" w:w="2880"/>
          </w:tcPr>
          <w:p>
            <w:r>
              <w:t>Other</w:t>
            </w:r>
          </w:p>
        </w:tc>
        <w:tc>
          <w:tcPr>
            <w:tcW w:type="dxa" w:w="2880"/>
          </w:tcPr>
          <w:p>
            <w:r>
              <w:t>476</w:t>
            </w:r>
          </w:p>
        </w:tc>
        <w:tc>
          <w:tcPr>
            <w:tcW w:type="dxa" w:w="2880"/>
          </w:tcPr>
          <w:p>
            <w:r>
              <w:t>4.3%</w:t>
            </w:r>
          </w:p>
        </w:tc>
      </w:tr>
      <w:tr>
        <w:tc>
          <w:tcPr>
            <w:tcW w:type="dxa" w:w="2880"/>
          </w:tcPr>
          <w:p>
            <w:r>
              <w:t>Complaint</w:t>
            </w:r>
          </w:p>
        </w:tc>
        <w:tc>
          <w:tcPr>
            <w:tcW w:type="dxa" w:w="2880"/>
          </w:tcPr>
          <w:p>
            <w:r>
              <w:t>108</w:t>
            </w:r>
          </w:p>
        </w:tc>
        <w:tc>
          <w:tcPr>
            <w:tcW w:type="dxa" w:w="2880"/>
          </w:tcPr>
          <w:p>
            <w:r>
              <w:t>1.0%</w:t>
            </w:r>
          </w:p>
        </w:tc>
      </w:tr>
      <w:tr>
        <w:tc>
          <w:tcPr>
            <w:tcW w:type="dxa" w:w="2880"/>
          </w:tcPr>
          <w:p>
            <w:r>
              <w:t>Post-Trip</w:t>
            </w:r>
          </w:p>
        </w:tc>
        <w:tc>
          <w:tcPr>
            <w:tcW w:type="dxa" w:w="2880"/>
          </w:tcPr>
          <w:p>
            <w:r>
              <w:t>41</w:t>
            </w:r>
          </w:p>
        </w:tc>
        <w:tc>
          <w:tcPr>
            <w:tcW w:type="dxa" w:w="2880"/>
          </w:tcPr>
          <w:p>
            <w:r>
              <w:t>0.4%</w:t>
            </w:r>
          </w:p>
        </w:tc>
      </w:tr>
      <w:tr>
        <w:tc>
          <w:tcPr>
            <w:tcW w:type="dxa" w:w="2880"/>
          </w:tcPr>
          <w:p>
            <w:r>
              <w:t>referral</w:t>
            </w:r>
          </w:p>
        </w:tc>
        <w:tc>
          <w:tcPr>
            <w:tcW w:type="dxa" w:w="2880"/>
          </w:tcPr>
          <w:p>
            <w:r>
              <w:t>2</w:t>
            </w:r>
          </w:p>
        </w:tc>
        <w:tc>
          <w:tcPr>
            <w:tcW w:type="dxa" w:w="2880"/>
          </w:tcPr>
          <w:p>
            <w:r>
              <w:t>0.0%</w:t>
            </w:r>
          </w:p>
        </w:tc>
      </w:tr>
      <w:tr>
        <w:tc>
          <w:tcPr>
            <w:tcW w:type="dxa" w:w="2880"/>
          </w:tcPr>
          <w:p>
            <w:r>
              <w:t>comparison_shopping</w:t>
            </w:r>
          </w:p>
        </w:tc>
        <w:tc>
          <w:tcPr>
            <w:tcW w:type="dxa" w:w="2880"/>
          </w:tcPr>
          <w:p>
            <w:r>
              <w:t>2</w:t>
            </w:r>
          </w:p>
        </w:tc>
        <w:tc>
          <w:tcPr>
            <w:tcW w:type="dxa" w:w="2880"/>
          </w:tcPr>
          <w:p>
            <w:r>
              <w:t>0.0%</w:t>
            </w:r>
          </w:p>
        </w:tc>
      </w:tr>
      <w:tr>
        <w:tc>
          <w:tcPr>
            <w:tcW w:type="dxa" w:w="2880"/>
          </w:tcPr>
          <w:p>
            <w:r>
              <w:t>comparison-shopping, possibly rebooking</w:t>
            </w:r>
          </w:p>
        </w:tc>
        <w:tc>
          <w:tcPr>
            <w:tcW w:type="dxa" w:w="2880"/>
          </w:tcPr>
          <w:p>
            <w:r>
              <w:t>1</w:t>
            </w:r>
          </w:p>
        </w:tc>
        <w:tc>
          <w:tcPr>
            <w:tcW w:type="dxa" w:w="2880"/>
          </w:tcPr>
          <w:p>
            <w:r>
              <w:t>0.0%</w:t>
            </w:r>
          </w:p>
        </w:tc>
      </w:tr>
    </w:tbl>
    <w:p>
      <w:pPr>
        <w:pStyle w:val="Heading1"/>
      </w:pPr>
      <w:r>
        <w:t>Calls by Sentiment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Sentiment Label</w:t>
            </w:r>
          </w:p>
        </w:tc>
        <w:tc>
          <w:tcPr>
            <w:tcW w:type="dxa" w:w="2880"/>
          </w:tcPr>
          <w:p>
            <w:r>
              <w:rPr>
                <w:b/>
              </w:rPr>
              <w:t>Calls</w:t>
            </w:r>
          </w:p>
        </w:tc>
        <w:tc>
          <w:tcPr>
            <w:tcW w:type="dxa" w:w="2880"/>
          </w:tcPr>
          <w:p>
            <w:r>
              <w:rPr>
                <w:b/>
              </w:rPr>
              <w:t>Share</w:t>
            </w:r>
          </w:p>
        </w:tc>
      </w:tr>
      <w:tr>
        <w:tc>
          <w:tcPr>
            <w:tcW w:type="dxa" w:w="2880"/>
          </w:tcPr>
          <w:p>
            <w:r>
              <w:t>Positive</w:t>
            </w:r>
          </w:p>
        </w:tc>
        <w:tc>
          <w:tcPr>
            <w:tcW w:type="dxa" w:w="2880"/>
          </w:tcPr>
          <w:p>
            <w:r>
              <w:t>7,646</w:t>
            </w:r>
          </w:p>
        </w:tc>
        <w:tc>
          <w:tcPr>
            <w:tcW w:type="dxa" w:w="2880"/>
          </w:tcPr>
          <w:p>
            <w:r>
              <w:t>68.4%</w:t>
            </w:r>
          </w:p>
        </w:tc>
      </w:tr>
      <w:tr>
        <w:tc>
          <w:tcPr>
            <w:tcW w:type="dxa" w:w="2880"/>
          </w:tcPr>
          <w:p>
            <w:r>
              <w:t>Neutral</w:t>
            </w:r>
          </w:p>
        </w:tc>
        <w:tc>
          <w:tcPr>
            <w:tcW w:type="dxa" w:w="2880"/>
          </w:tcPr>
          <w:p>
            <w:r>
              <w:t>2,336</w:t>
            </w:r>
          </w:p>
        </w:tc>
        <w:tc>
          <w:tcPr>
            <w:tcW w:type="dxa" w:w="2880"/>
          </w:tcPr>
          <w:p>
            <w:r>
              <w:t>20.9%</w:t>
            </w:r>
          </w:p>
        </w:tc>
      </w:tr>
      <w:tr>
        <w:tc>
          <w:tcPr>
            <w:tcW w:type="dxa" w:w="2880"/>
          </w:tcPr>
          <w:p>
            <w:r>
              <w:t>Negative</w:t>
            </w:r>
          </w:p>
        </w:tc>
        <w:tc>
          <w:tcPr>
            <w:tcW w:type="dxa" w:w="2880"/>
          </w:tcPr>
          <w:p>
            <w:r>
              <w:t>693</w:t>
            </w:r>
          </w:p>
        </w:tc>
        <w:tc>
          <w:tcPr>
            <w:tcW w:type="dxa" w:w="2880"/>
          </w:tcPr>
          <w:p>
            <w:r>
              <w:t>6.2%</w:t>
            </w:r>
          </w:p>
        </w:tc>
      </w:tr>
      <w:tr>
        <w:tc>
          <w:tcPr>
            <w:tcW w:type="dxa" w:w="2880"/>
          </w:tcPr>
          <w:p>
            <w:r>
              <w:t>Very Positive</w:t>
            </w:r>
          </w:p>
        </w:tc>
        <w:tc>
          <w:tcPr>
            <w:tcW w:type="dxa" w:w="2880"/>
          </w:tcPr>
          <w:p>
            <w:r>
              <w:t>462</w:t>
            </w:r>
          </w:p>
        </w:tc>
        <w:tc>
          <w:tcPr>
            <w:tcW w:type="dxa" w:w="2880"/>
          </w:tcPr>
          <w:p>
            <w:r>
              <w:t>4.1%</w:t>
            </w:r>
          </w:p>
        </w:tc>
      </w:tr>
      <w:tr>
        <w:tc>
          <w:tcPr>
            <w:tcW w:type="dxa" w:w="2880"/>
          </w:tcPr>
          <w:p>
            <w:r>
              <w:t>Very Negative</w:t>
            </w:r>
          </w:p>
        </w:tc>
        <w:tc>
          <w:tcPr>
            <w:tcW w:type="dxa" w:w="2880"/>
          </w:tcPr>
          <w:p>
            <w:r>
              <w:t>40</w:t>
            </w:r>
          </w:p>
        </w:tc>
        <w:tc>
          <w:tcPr>
            <w:tcW w:type="dxa" w:w="2880"/>
          </w:tcPr>
          <w:p>
            <w:r>
              <w:t>0.4%</w:t>
            </w:r>
          </w:p>
        </w:tc>
      </w:tr>
    </w:tbl>
    <w:p>
      <w:r>
        <w:rPr>
          <w:b/>
        </w:rPr>
        <w:t xml:space="preserve">Numeric average sentiment: </w:t>
      </w:r>
      <w:r>
        <w:rPr>
          <w:i w:val="0"/>
        </w:rPr>
        <w:t xml:space="preserve">0.49    </w:t>
      </w:r>
      <w:r>
        <w:rPr>
          <w:i/>
        </w:rPr>
        <w:t>(team average: 0.39)</w:t>
      </w:r>
    </w:p>
    <w:p>
      <w:pPr>
        <w:pStyle w:val="Heading1"/>
      </w:pPr>
      <w:r>
        <w:t>Calls Trajectory</w:t>
      </w:r>
    </w:p>
    <w:p>
      <w:r>
        <w:t>Trajectory captures whether the customer's emotional state improved, declined, or held steady during each call. A high 'improving' share indicates the planner is moving customers toward a better state.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Trajectory</w:t>
            </w:r>
          </w:p>
        </w:tc>
        <w:tc>
          <w:tcPr>
            <w:tcW w:type="dxa" w:w="2880"/>
          </w:tcPr>
          <w:p>
            <w:r>
              <w:rPr>
                <w:b/>
              </w:rPr>
              <w:t>Calls</w:t>
            </w:r>
          </w:p>
        </w:tc>
        <w:tc>
          <w:tcPr>
            <w:tcW w:type="dxa" w:w="2880"/>
          </w:tcPr>
          <w:p>
            <w:r>
              <w:rPr>
                <w:b/>
              </w:rPr>
              <w:t>Share</w:t>
            </w:r>
          </w:p>
        </w:tc>
      </w:tr>
      <w:tr>
        <w:tc>
          <w:tcPr>
            <w:tcW w:type="dxa" w:w="2880"/>
          </w:tcPr>
          <w:p>
            <w:r>
              <w:t>Steady</w:t>
            </w:r>
          </w:p>
        </w:tc>
        <w:tc>
          <w:tcPr>
            <w:tcW w:type="dxa" w:w="2880"/>
          </w:tcPr>
          <w:p>
            <w:r>
              <w:t>8,283</w:t>
            </w:r>
          </w:p>
        </w:tc>
        <w:tc>
          <w:tcPr>
            <w:tcW w:type="dxa" w:w="2880"/>
          </w:tcPr>
          <w:p>
            <w:r>
              <w:t>74.1%</w:t>
            </w:r>
          </w:p>
        </w:tc>
      </w:tr>
      <w:tr>
        <w:tc>
          <w:tcPr>
            <w:tcW w:type="dxa" w:w="2880"/>
          </w:tcPr>
          <w:p>
            <w:r>
              <w:t>Improving</w:t>
            </w:r>
          </w:p>
        </w:tc>
        <w:tc>
          <w:tcPr>
            <w:tcW w:type="dxa" w:w="2880"/>
          </w:tcPr>
          <w:p>
            <w:r>
              <w:t>2,314</w:t>
            </w:r>
          </w:p>
        </w:tc>
        <w:tc>
          <w:tcPr>
            <w:tcW w:type="dxa" w:w="2880"/>
          </w:tcPr>
          <w:p>
            <w:r>
              <w:t>20.7%</w:t>
            </w:r>
          </w:p>
        </w:tc>
      </w:tr>
      <w:tr>
        <w:tc>
          <w:tcPr>
            <w:tcW w:type="dxa" w:w="2880"/>
          </w:tcPr>
          <w:p>
            <w:r>
              <w:t>Declining</w:t>
            </w:r>
          </w:p>
        </w:tc>
        <w:tc>
          <w:tcPr>
            <w:tcW w:type="dxa" w:w="2880"/>
          </w:tcPr>
          <w:p>
            <w:r>
              <w:t>490</w:t>
            </w:r>
          </w:p>
        </w:tc>
        <w:tc>
          <w:tcPr>
            <w:tcW w:type="dxa" w:w="2880"/>
          </w:tcPr>
          <w:p>
            <w:r>
              <w:t>4.4%</w:t>
            </w:r>
          </w:p>
        </w:tc>
      </w:tr>
      <w:tr>
        <w:tc>
          <w:tcPr>
            <w:tcW w:type="dxa" w:w="2880"/>
          </w:tcPr>
          <w:p>
            <w:r>
              <w:t>Mixed</w:t>
            </w:r>
          </w:p>
        </w:tc>
        <w:tc>
          <w:tcPr>
            <w:tcW w:type="dxa" w:w="2880"/>
          </w:tcPr>
          <w:p>
            <w:r>
              <w:t>90</w:t>
            </w:r>
          </w:p>
        </w:tc>
        <w:tc>
          <w:tcPr>
            <w:tcW w:type="dxa" w:w="2880"/>
          </w:tcPr>
          <w:p>
            <w:r>
              <w:t>0.8%</w:t>
            </w:r>
          </w:p>
        </w:tc>
      </w:tr>
    </w:tbl>
    <w:p>
      <w:pPr>
        <w:pStyle w:val="Heading1"/>
      </w:pPr>
      <w:r>
        <w:t>What the numbers tell us</w:t>
      </w:r>
    </w:p>
    <w:p>
      <w:r>
        <w:t># What the numbers tell us — Lee Alvarez</w:t>
      </w:r>
    </w:p>
    <w:p>
      <w:r>
        <w:t>**Standing relative to the team.** Lee is running ahead of the team on the two metrics that matter most. Average sentiment sits at 0.49 versus the team's 0.39, and the conversion proxy is 0.51 versus 0.35 — a 16-point lead on closing-adjacent behavior. Sentiment distribution backs this up: 72.5% of calls land in positive or very_positive territory, with only 6.6% negative or very_negative. The concern is trajectory. Improving-trajectory share is 0.00, identical to the team. 74.1% of calls are "steady" and only 20.7% "improved." Lee is starting calls in a good place and keeping them there, but is not visibly turning rooms around.</w:t>
      </w:r>
    </w:p>
    <w:p>
      <w:r>
        <w:t>**Volume and mix.** 11,177 calls is substantial. The mix is broad rather than specialized: 24.9% support, 23.4% ready_to_book, 18.4% researching, 14.7% booked, 13.0% rebooking. Outbound (7,524) more than doubles inbound (3,653), so Lee is doing meaningful proactive work — chasing payment issues, confirming bookings, offering upgrades. The closing-adjacent buckets (ready_to_book + researching + rebooking) total 54.8%, which is healthy revenue exposure. Support at nearly a quarter of volume is appropriate given the post-sale service load implied by 1,643 "booked" calls and a heavy Viking/Silversea/Tauck book of business.</w:t>
      </w:r>
    </w:p>
    <w:p>
      <w:r>
        <w:t>**Sentiment and trajectory.** Lee manages the room well but rarely moves it. The best examples are customers who arrive happy and leave happy: Maureen — *"I'm thrilled, I'm thrilled and I think the cabin is fine. That is stunning. Only $6,000. You're the best."* Anne on a comp upgrade — *"Why wouldn't we sounds great. Yeah, love it. Fabulous. Thank you."* Jaggar Franz post-China — *"we had a fabulous trip, it was just wonderful, everything worked out perfectly and I can't thank you enough."* These are all "steady" trajectories at 0.9–0.95 sentiment. On the downside, Karen's Regent complaint (*"I've been over fifty cruises in my life and this is the worst one I've ever been on. I will never do Regent again."*) also ends "steady" at -0.85 — meaning Lee did not pull her up either. The pattern: Lee preserves state. She does not bend it.</w:t>
      </w:r>
    </w:p>
    <w:p>
      <w:r>
        <w:t>**Closing technique.** No signal. Every example in the payload — best, worst, and high-objection — has `closing_attempt: null`, `close_outcome: null`, empty `close_language`, and empty `missed_signals`. We cannot evaluate closing mechanics from this data. That itself is worth flagging: for a planner with 2,616 ready_to_book calls and a 0.51 conversion proxy, the absence of any captured close language is a measurement gap leadership should close.</w:t>
      </w:r>
    </w:p>
    <w:p>
      <w:r>
        <w:t>**Coaching priority — convert "we'll think about it" into a booked deposit on the call.** The Pellegrino Viking Italian Lakes call is the clearest example. The customer had the booklet in hand, a fixed travel window (return by Mother's Day, May 10), a total cost estimate, and five live objections including a $1,100 per-person May premium. She left with: *"okay, we'll talk it over here at this end, and then if we decide to do it, we'll call you back."* That is the call Lee needs to close — or at minimum secure a held cabin and a scheduled callback with a deposit window. Same shape on Susan's Oceana Alaska call: customer literally said *"We are very interested and we would book it today if we found that if we found the right type of a cruise"* — and the record shows no captured closing attempt. Lee is earning the right to ask. She needs to ask.</w:t>
      </w:r>
    </w:p>
    <w:p>
      <w:r>
        <w:t>**Amplify — the outbound upgrade and goodwill motion.** Lee's outbound work is generating disproportionate loyalty. The Anne call (inbound response to Lee's outbound upgrade offer, instant acceptance) and the Jaggar Franz callback thanking her by name for $600 in onboard credits are both downstream of proactive outbound effort. With 7,524 outbound calls already in the book and a sentiment average well above team, this motion is working. Protect the time Lee spends on proactive upgrade and credit calls, and consider documenting her outbound playbook for the rest of the team — it is the most visible reason her sentiment sits 10 points above the floor.</w:t>
      </w:r>
    </w:p>
    <w:p/>
    <w:p>
      <w:r>
        <w:rPr>
          <w:i/>
          <w:color w:val="808080"/>
          <w:sz w:val="18"/>
        </w:rPr>
        <w:t>Internal leadership document. Source: Dialpad call transcripts analyzed by Claude.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