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Lauren Riesenberger — Performance Report</w:t>
      </w:r>
    </w:p>
    <w:p>
      <w:r>
        <w:rPr>
          <w:i/>
        </w:rPr>
        <w:t>All time · 6919 analyzed calls · generated 2026-05-26 21:33</w:t>
      </w:r>
    </w:p>
    <w:p>
      <w:pPr>
        <w:pStyle w:val="Heading1"/>
      </w:pPr>
      <w:r>
        <w:t>Overview</w:t>
      </w:r>
    </w:p>
    <w:p>
      <w:r>
        <w:t>Lauren Riesenberger handled 6,919 analyzed calls from 2023-07-10 to 2026-05-22. Average customer sentiment was 0.52 (on a -1 to +1 scale), with an average call duration of 8 min 34 sec. Conversion proxy (booked + ready-to-book + rebooking ÷ total) is 57%, and the share of calls where the customer's mood improved during the call is 0%. Direction mix: inbound 1,998 / outbound 4,921.</w:t>
      </w:r>
    </w:p>
    <w:p>
      <w:r>
        <w:rPr>
          <w:b/>
        </w:rPr>
        <w:t xml:space="preserve">Top destinations handled: </w:t>
      </w:r>
      <w:r>
        <w:t>Alaska (362), Paris (355), Amsterdam (338), Europe (333), Barcelona (312), Miami (301)</w:t>
      </w:r>
    </w:p>
    <w:p>
      <w:r>
        <w:rPr>
          <w:b/>
        </w:rPr>
        <w:t xml:space="preserve">Top cruise lines handled: </w:t>
      </w:r>
      <w:r>
        <w:t>Viking (1215), Viking River Cruises (780), Regent (423), Silversea (406), Oceana (285), Viking River Link (275)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1,636</w:t>
            </w:r>
          </w:p>
        </w:tc>
        <w:tc>
          <w:tcPr>
            <w:tcW w:type="dxa" w:w="2880"/>
          </w:tcPr>
          <w:p>
            <w:r>
              <w:t>23.6%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1,395</w:t>
            </w:r>
          </w:p>
        </w:tc>
        <w:tc>
          <w:tcPr>
            <w:tcW w:type="dxa" w:w="2880"/>
          </w:tcPr>
          <w:p>
            <w:r>
              <w:t>20.2%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1,203</w:t>
            </w:r>
          </w:p>
        </w:tc>
        <w:tc>
          <w:tcPr>
            <w:tcW w:type="dxa" w:w="2880"/>
          </w:tcPr>
          <w:p>
            <w:r>
              <w:t>17.4%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1,146</w:t>
            </w:r>
          </w:p>
        </w:tc>
        <w:tc>
          <w:tcPr>
            <w:tcW w:type="dxa" w:w="2880"/>
          </w:tcPr>
          <w:p>
            <w:r>
              <w:t>16.6%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1,038</w:t>
            </w:r>
          </w:p>
        </w:tc>
        <w:tc>
          <w:tcPr>
            <w:tcW w:type="dxa" w:w="2880"/>
          </w:tcPr>
          <w:p>
            <w:r>
              <w:t>15.0%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342</w:t>
            </w:r>
          </w:p>
        </w:tc>
        <w:tc>
          <w:tcPr>
            <w:tcW w:type="dxa" w:w="2880"/>
          </w:tcPr>
          <w:p>
            <w:r>
              <w:t>4.9%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87</w:t>
            </w:r>
          </w:p>
        </w:tc>
        <w:tc>
          <w:tcPr>
            <w:tcW w:type="dxa" w:w="2880"/>
          </w:tcPr>
          <w:p>
            <w:r>
              <w:t>1.3%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72</w:t>
            </w:r>
          </w:p>
        </w:tc>
        <w:tc>
          <w:tcPr>
            <w:tcW w:type="dxa" w:w="2880"/>
          </w:tcPr>
          <w:p>
            <w:r>
              <w:t>1.0%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4,783</w:t>
            </w:r>
          </w:p>
        </w:tc>
        <w:tc>
          <w:tcPr>
            <w:tcW w:type="dxa" w:w="2880"/>
          </w:tcPr>
          <w:p>
            <w:r>
              <w:t>69.1%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1,302</w:t>
            </w:r>
          </w:p>
        </w:tc>
        <w:tc>
          <w:tcPr>
            <w:tcW w:type="dxa" w:w="2880"/>
          </w:tcPr>
          <w:p>
            <w:r>
              <w:t>18.8%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461</w:t>
            </w:r>
          </w:p>
        </w:tc>
        <w:tc>
          <w:tcPr>
            <w:tcW w:type="dxa" w:w="2880"/>
          </w:tcPr>
          <w:p>
            <w:r>
              <w:t>6.7%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333</w:t>
            </w:r>
          </w:p>
        </w:tc>
        <w:tc>
          <w:tcPr>
            <w:tcW w:type="dxa" w:w="2880"/>
          </w:tcPr>
          <w:p>
            <w:r>
              <w:t>4.8%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39</w:t>
            </w:r>
          </w:p>
        </w:tc>
        <w:tc>
          <w:tcPr>
            <w:tcW w:type="dxa" w:w="2880"/>
          </w:tcPr>
          <w:p>
            <w:r>
              <w:t>0.6%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0.52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4,620</w:t>
            </w:r>
          </w:p>
        </w:tc>
        <w:tc>
          <w:tcPr>
            <w:tcW w:type="dxa" w:w="2880"/>
          </w:tcPr>
          <w:p>
            <w:r>
              <w:t>66.8%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2,095</w:t>
            </w:r>
          </w:p>
        </w:tc>
        <w:tc>
          <w:tcPr>
            <w:tcW w:type="dxa" w:w="2880"/>
          </w:tcPr>
          <w:p>
            <w:r>
              <w:t>30.3%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133</w:t>
            </w:r>
          </w:p>
        </w:tc>
        <w:tc>
          <w:tcPr>
            <w:tcW w:type="dxa" w:w="2880"/>
          </w:tcPr>
          <w:p>
            <w:r>
              <w:t>1.9%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71</w:t>
            </w:r>
          </w:p>
        </w:tc>
        <w:tc>
          <w:tcPr>
            <w:tcW w:type="dxa" w:w="2880"/>
          </w:tcPr>
          <w:p>
            <w:r>
              <w:t>1.0%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Lauren Riesenberger</w:t>
      </w:r>
    </w:p>
    <w:p>
      <w:r>
        <w:t>## Standing vs. Team</w:t>
      </w:r>
    </w:p>
    <w:p>
      <w:r>
        <w:t>Lauren is materially above the team on the two metrics that matter most. Her average sentiment is 0.52 against a team baseline of 0.39, and her conversion proxy is 0.58 against 0.35 — a 23-point lead. Sentiment distribution backs this up: 75.8% of her calls land positive or very positive (69.1% + 6.7%), with only 5.4% negative or very negative. The concern is trajectory. Her improving share is 0.0% in the headline metric, though the underlying distribution shows 30.3% improved and 66.8% steady. Read together: she rarely loses ground (1.9% declined), but the bulk of her book is people who arrived warm and stayed warm. She is not a turnaround artist; she is a high-quality steady-state operator.</w:t>
      </w:r>
    </w:p>
    <w:p>
      <w:r>
        <w:t>## Volume and Mix</w:t>
      </w:r>
    </w:p>
    <w:p>
      <w:r>
        <w:t>6,919 analyzed calls is a heavy book. The mix is healthy and revenue-weighted: 23.6% ready_to_book and 16.6% booked means roughly 40% of her time sits at or past the decision point. Add 17.4% rebooking — repeat-customer work that compounds — and the majority of her volume is transactional rather than exploratory. Support (20.2%) is appropriate given the rebooking load. Researching (15.0%) is healthy without being bloated, and complaint (1.3%) plus post_trip (1.0%) is negligible. Outbound vs. inbound runs 4,921 / 1,998, so she is initiating most contact. Destination and supplier concentration (Viking + Viking River = 1,995 calls; Alaska, Paris, Amsterdam top destinations) suggests she has built a specialty book in river and premium ocean — that focus is likely a driver of the sentiment and conversion lift.</w:t>
      </w:r>
    </w:p>
    <w:p>
      <w:r>
        <w:t>## Sentiment and Trajectory</w:t>
      </w:r>
    </w:p>
    <w:p>
      <w:r>
        <w:t>She is managing the room well but not consistently moving it. The Patricia call (2025-02-18) is the cleanest example of trajectory work: it opened with five stacked objections — catalog confusion, a $600 price increase, $4,000 airfare risk, refund-vs-credit fear, and "promotional trickery" — and closed at 0.65 sentiment with a $4,299 cruise fare committed and a new credit card on file. That is a real save. The Laurie/Steve rebooking (2025-08-15) is similar: original Douro sailing booked out, multiple cabin and pricing objections, ended with a hold on cabin 5110 for Australia/New Zealand. Both moved from friction to deposit. The "best examples," by contrast, are steady-state confirmations — Roger calling to transfer a booking he already loved ("It was a fabulous trip. First river cruise, first biking cruise, and both aspects were really impressive"), Donna confirming a held cabin ("Yeah, we definitely need to be on the same flight"). These are warm calls executed cleanly, not converted. The lift is real but concentrated in the harder calls.</w:t>
      </w:r>
    </w:p>
    <w:p>
      <w:r>
        <w:t>## Closing Technique</w:t>
      </w:r>
    </w:p>
    <w:p>
      <w:r>
        <w:t>No signal. The dataset contains zero populated closing_attempt, close_outcome, close_language, or missed_signals fields across best, worst, and high-objection examples. We cannot evaluate technique from this payload. That said, the 0.58 conversion proxy and the buying-signal density on the Patricia and Donna calls (credit card provided, deposit committed, AirPlus accepted) indicate she is getting to commitment — we just can't see the verbatim mechanism. Recommend instrumenting close_language capture before the next review cycle.</w:t>
      </w:r>
    </w:p>
    <w:p>
      <w:r>
        <w:t>## Coaching Priority</w:t>
      </w:r>
    </w:p>
    <w:p>
      <w:r>
        <w:t>The worst examples are not customer-facing failures — they are professionalism lapses on supplier hold lines. The 2023-10-24 Silversea calls show her on an open line with "audible side conversation — fragments of dialogue about Ireland travel in March/April, a location (Harrisburg, Pennsylvania), and expletive-laden remarks" while the Silversea hold loop played: "Thank you for continuing to hold, an agent will be available to assist you shortly." She did not know she was being recorded in a coachable way, but the behavior is on tape. Priority: hold-line discipline. Treat every open line as customer-audible. This is a low-effort, high-reputation-risk fix.</w:t>
      </w:r>
    </w:p>
    <w:p>
      <w:r>
        <w:t>## What to Amplify</w:t>
      </w:r>
    </w:p>
    <w:p>
      <w:r>
        <w:t>Her objection-handling on price-sensitive, research-heavy customers. The Patricia call is the template: customer arrives angry about Viking's marketing and a $600 price hike, says "we want the best deal because it's gonna be an expensive trip... we think very carefully about all of this," and leaves with a stateroom selected (208 vs. 212), $700 in vouchers applied, and full fare committed. That sequence — acknowledge the marketing frustration, recalculate transparently, anchor the value stack — should be captured and used as a training artifact for the team's 0.39 sentiment average. This is the specific skill that separates her from baseline, and it is teachable.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