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Kendahl Isbell — Performance Report</w:t>
      </w:r>
    </w:p>
    <w:p>
      <w:r>
        <w:rPr>
          <w:i/>
        </w:rPr>
        <w:t>All time · 1273 analyzed calls · generated 2026-05-26 21:39</w:t>
      </w:r>
    </w:p>
    <w:p>
      <w:pPr>
        <w:pStyle w:val="Heading1"/>
      </w:pPr>
      <w:r>
        <w:t>Overview</w:t>
      </w:r>
    </w:p>
    <w:p>
      <w:r>
        <w:t>Kendahl Isbell handled 1,273 analyzed calls from 2025-10-06 to 2026-05-24. Average customer sentiment was 0.48 (on a -1 to +1 scale), with an average call duration of 10 min 13 sec. Conversion proxy (booked + ready-to-book + rebooking ÷ total) is 46%, and the share of calls where the customer's mood improved during the call is 0%. Direction mix: inbound 468 / outbound 805.</w:t>
      </w:r>
    </w:p>
    <w:p>
      <w:r>
        <w:rPr>
          <w:b/>
        </w:rPr>
        <w:t xml:space="preserve">Top destinations handled: </w:t>
      </w:r>
      <w:r>
        <w:t>Miami (66), Paris (60), Caribbean (59), Europe (50), Italy (46), Amsterdam (45)</w:t>
      </w:r>
    </w:p>
    <w:p>
      <w:r>
        <w:rPr>
          <w:b/>
        </w:rPr>
        <w:t xml:space="preserve">Top cruise lines handled: </w:t>
      </w:r>
      <w:r>
        <w:t>Viking (140), Regent (131), Royal Caribbean (110), Viking River Cruises (89), Tauck (70), Globus (69)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352</w:t>
            </w:r>
          </w:p>
        </w:tc>
        <w:tc>
          <w:tcPr>
            <w:tcW w:type="dxa" w:w="2880"/>
          </w:tcPr>
          <w:p>
            <w:r>
              <w:t>27.7%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326</w:t>
            </w:r>
          </w:p>
        </w:tc>
        <w:tc>
          <w:tcPr>
            <w:tcW w:type="dxa" w:w="2880"/>
          </w:tcPr>
          <w:p>
            <w:r>
              <w:t>25.6%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228</w:t>
            </w:r>
          </w:p>
        </w:tc>
        <w:tc>
          <w:tcPr>
            <w:tcW w:type="dxa" w:w="2880"/>
          </w:tcPr>
          <w:p>
            <w:r>
              <w:t>17.9%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138</w:t>
            </w:r>
          </w:p>
        </w:tc>
        <w:tc>
          <w:tcPr>
            <w:tcW w:type="dxa" w:w="2880"/>
          </w:tcPr>
          <w:p>
            <w:r>
              <w:t>10.8%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120</w:t>
            </w:r>
          </w:p>
        </w:tc>
        <w:tc>
          <w:tcPr>
            <w:tcW w:type="dxa" w:w="2880"/>
          </w:tcPr>
          <w:p>
            <w:r>
              <w:t>9.4%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85</w:t>
            </w:r>
          </w:p>
        </w:tc>
        <w:tc>
          <w:tcPr>
            <w:tcW w:type="dxa" w:w="2880"/>
          </w:tcPr>
          <w:p>
            <w:r>
              <w:t>6.7%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14</w:t>
            </w:r>
          </w:p>
        </w:tc>
        <w:tc>
          <w:tcPr>
            <w:tcW w:type="dxa" w:w="2880"/>
          </w:tcPr>
          <w:p>
            <w:r>
              <w:t>1.1%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0.8%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827</w:t>
            </w:r>
          </w:p>
        </w:tc>
        <w:tc>
          <w:tcPr>
            <w:tcW w:type="dxa" w:w="2880"/>
          </w:tcPr>
          <w:p>
            <w:r>
              <w:t>65.0%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315</w:t>
            </w:r>
          </w:p>
        </w:tc>
        <w:tc>
          <w:tcPr>
            <w:tcW w:type="dxa" w:w="2880"/>
          </w:tcPr>
          <w:p>
            <w:r>
              <w:t>24.7%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73</w:t>
            </w:r>
          </w:p>
        </w:tc>
        <w:tc>
          <w:tcPr>
            <w:tcW w:type="dxa" w:w="2880"/>
          </w:tcPr>
          <w:p>
            <w:r>
              <w:t>5.7%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53</w:t>
            </w:r>
          </w:p>
        </w:tc>
        <w:tc>
          <w:tcPr>
            <w:tcW w:type="dxa" w:w="2880"/>
          </w:tcPr>
          <w:p>
            <w:r>
              <w:t>4.2%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0.4%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0.48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862</w:t>
            </w:r>
          </w:p>
        </w:tc>
        <w:tc>
          <w:tcPr>
            <w:tcW w:type="dxa" w:w="2880"/>
          </w:tcPr>
          <w:p>
            <w:r>
              <w:t>67.7%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364</w:t>
            </w:r>
          </w:p>
        </w:tc>
        <w:tc>
          <w:tcPr>
            <w:tcW w:type="dxa" w:w="2880"/>
          </w:tcPr>
          <w:p>
            <w:r>
              <w:t>28.6%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40</w:t>
            </w:r>
          </w:p>
        </w:tc>
        <w:tc>
          <w:tcPr>
            <w:tcW w:type="dxa" w:w="2880"/>
          </w:tcPr>
          <w:p>
            <w:r>
              <w:t>3.1%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0.5%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Kendahl Isbell</w:t>
      </w:r>
    </w:p>
    <w:p>
      <w:r>
        <w:t>## Standing relative to the team</w:t>
      </w:r>
    </w:p>
    <w:p>
      <w:r>
        <w:t>Kendahl is outperforming the team reference on every headline metric. Average sentiment sits at 0.48 vs. team 0.39, conversion proxy is 0.46 vs. team 0.35, and the improved-trajectory share is 28.6% against a team baseline of 0.00%. Across 1,273 calls, 70.7% land positive or very positive and only 4.6% land negative or very negative. The clearest concern is volume concentration in voicemail-style outbound dead-ends (see worst examples) and a complete absence of structured closing language captured in the data — every best, worst, and high-objection example shows `closing_attempt: null` and empty `close_language`. She is converting without an identifiable, repeatable close.</w:t>
      </w:r>
    </w:p>
    <w:p>
      <w:r>
        <w:t>## Volume and mix</w:t>
      </w:r>
    </w:p>
    <w:p>
      <w:r>
        <w:t>1,273 calls is a heavy book. The mix is appropriately weighted toward revenue-generating intents: 27.7% researching and 25.6% ready_to_book together account for over half the book, with another 10.8% already booked (servicing the sale) and 9.4% rebooking. Support is 17.9% — meaningful but not dominant — and complaint volume is negligible at 1.1% (14 calls). Outbound (805) outweighs inbound (468) roughly 1.7:1, consistent with a planner actively working pipeline rather than just catching calls. Destination and supplier mix skews premium/cruise (Viking 140, Regent 131, Royal Caribbean 110; Paris, Italy, Alaska, Caribbean), which fits her sentiment profile — these are aspirational buyers, and she is keeping them happy.</w:t>
      </w:r>
    </w:p>
    <w:p>
      <w:r>
        <w:t>## Sentiment and trajectory</w:t>
      </w:r>
    </w:p>
    <w:p>
      <w:r>
        <w:t>She is moving the room, not just managing it. 28.6% of calls show an improved trajectory — extraordinary against a team improving-share of 0.00 — and the high-objection examples are the proof. Lynn Doyle (nine travelers, four cabins) came in guarded — "I just don't want to give out any other family information until I know this is a cruise that we want and what the prices are" — and the call still finished at 0.65 sentiment, improved trajectory, with cabin type, gratuities, and insurance scoped. Stuart Rosenthal arrived hostile and comparison-shopping — "I get these emails from you guys, and if I can't get any response from Pavlus, I started looking around and other sources got a quote $16,000 including air" — and left improved and willing to keep working with her. The booked-confirmation calls show what the top of her range looks like: Shirley, "I am over the moon. We're not used to traveling with this kind of first-class, and we can just sit back and relax."</w:t>
      </w:r>
    </w:p>
    <w:p>
      <w:r>
        <w:t>## Closing technique</w:t>
      </w:r>
    </w:p>
    <w:p>
      <w:r>
        <w:t>This is the weakest signal in the dataset. Across every best, worst, and high-objection example provided, `closing_attempt`, `close_outcome`, `close_language`, and `missed_signals` are null or empty. We cannot evaluate her close from this payload. What we can see is that buying signals are landing — Vanessa and Mike's call captured Mike's verbal commit "that sounds great, let's do that," a specific itinerary (ten-day Denali Explorer, July 26–August 5), and a request for "premier-level package with all inclusions" — but whether Kendahl converted that moment into a booked deposit on the call is not in the data. Given a 0.46 conversion proxy, the close is working; we just can't characterize how. Recommend tagging close behavior explicitly going forward.</w:t>
      </w:r>
    </w:p>
    <w:p>
      <w:r>
        <w:t>## Coaching priority</w:t>
      </w:r>
    </w:p>
    <w:p>
      <w:r>
        <w:t>Defensive posture on complaints when the customer is already lost. The Mark/Regent excursion call (sentiment -0.8, declined trajectory) ended with the customer saying: "I've never gone on a vacation where I can't pick what I want. So I'm sorry if you just, you've done your best but that's what we can do." That phrasing — the customer apologizing to her while expressing defeat — suggests she stayed in problem-explanation mode (sold-out, conflicts, wait lists) rather than pivoting to a recovery offer (alternate ports, private tours, onboard credit conversation). Two of six shore tours were unavailable; that is a moment to escalate or trade, not to absorb. Coaching ask: build a complaint-recovery playbook so that "you've done your best" never becomes the closing line.</w:t>
      </w:r>
    </w:p>
    <w:p>
      <w:r>
        <w:t>## What to amplify</w:t>
      </w:r>
    </w:p>
    <w:p>
      <w:r>
        <w:t>Her objection-to-improved-trajectory conversion. The Stuart Rosenthal save is the template — a customer waving a competitor's $16,000 quote and a USAA $17,000 quote, and she keeps him engaged with "willing to work with Kendahl going forward if responsive." Whatever she is doing to absorb price-comparison pressure without discounting reflexively is worth recording and teaching. Pair this with the Lynn Doyle call, where she moved a privacy-guarded prospect into confirming nine travelers, four balcony cabins, and an insurance line-item commitment. That pattern — earn the disclosure, then scope the deal — is the asset to scale across the team that is currently sitting at 0.00 improving share.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