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Karen Vleeshouwer — Performance Report</w:t>
      </w:r>
    </w:p>
    <w:p>
      <w:r>
        <w:rPr>
          <w:i/>
        </w:rPr>
        <w:t>All time · 3974 analyzed calls · generated 2026-05-26 21:35</w:t>
      </w:r>
    </w:p>
    <w:p>
      <w:pPr>
        <w:pStyle w:val="Heading1"/>
      </w:pPr>
      <w:r>
        <w:t>Overview</w:t>
      </w:r>
    </w:p>
    <w:p>
      <w:r>
        <w:t>Karen Vleeshouwer handled 3,974 analyzed calls from 2025-01-10 to 2026-05-23. Average customer sentiment was 0.45 (on a -1 to +1 scale), with an average call duration of 7 min 57 sec. Conversion proxy (booked + ready-to-book + rebooking ÷ total) is 49%, and the share of calls where the customer's mood improved during the call is 0%. Direction mix: inbound 1,459 / outbound 2,515.</w:t>
      </w:r>
    </w:p>
    <w:p>
      <w:r>
        <w:rPr>
          <w:b/>
        </w:rPr>
        <w:t xml:space="preserve">Top destinations handled: </w:t>
      </w:r>
      <w:r>
        <w:t>Europe (230), Alaska (189), Paris (182), Amsterdam (159), Rome (149), Athens (147)</w:t>
      </w:r>
    </w:p>
    <w:p>
      <w:r>
        <w:rPr>
          <w:b/>
        </w:rPr>
        <w:t xml:space="preserve">Top cruise lines handled: </w:t>
      </w:r>
      <w:r>
        <w:t>Viking (403), Globus (326), Viking River Cruises (276), Uniworld (233), Tauck (194), Silversea (189)</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995</w:t>
            </w:r>
          </w:p>
        </w:tc>
        <w:tc>
          <w:tcPr>
            <w:tcW w:type="dxa" w:w="2880"/>
          </w:tcPr>
          <w:p>
            <w:r>
              <w:t>25.0%</w:t>
            </w:r>
          </w:p>
        </w:tc>
      </w:tr>
      <w:tr>
        <w:tc>
          <w:tcPr>
            <w:tcW w:type="dxa" w:w="2880"/>
          </w:tcPr>
          <w:p>
            <w:r>
              <w:t>Researching</w:t>
            </w:r>
          </w:p>
        </w:tc>
        <w:tc>
          <w:tcPr>
            <w:tcW w:type="dxa" w:w="2880"/>
          </w:tcPr>
          <w:p>
            <w:r>
              <w:t>892</w:t>
            </w:r>
          </w:p>
        </w:tc>
        <w:tc>
          <w:tcPr>
            <w:tcW w:type="dxa" w:w="2880"/>
          </w:tcPr>
          <w:p>
            <w:r>
              <w:t>22.4%</w:t>
            </w:r>
          </w:p>
        </w:tc>
      </w:tr>
      <w:tr>
        <w:tc>
          <w:tcPr>
            <w:tcW w:type="dxa" w:w="2880"/>
          </w:tcPr>
          <w:p>
            <w:r>
              <w:t>Support</w:t>
            </w:r>
          </w:p>
        </w:tc>
        <w:tc>
          <w:tcPr>
            <w:tcW w:type="dxa" w:w="2880"/>
          </w:tcPr>
          <w:p>
            <w:r>
              <w:t>858</w:t>
            </w:r>
          </w:p>
        </w:tc>
        <w:tc>
          <w:tcPr>
            <w:tcW w:type="dxa" w:w="2880"/>
          </w:tcPr>
          <w:p>
            <w:r>
              <w:t>21.6%</w:t>
            </w:r>
          </w:p>
        </w:tc>
      </w:tr>
      <w:tr>
        <w:tc>
          <w:tcPr>
            <w:tcW w:type="dxa" w:w="2880"/>
          </w:tcPr>
          <w:p>
            <w:r>
              <w:t>Rebooking</w:t>
            </w:r>
          </w:p>
        </w:tc>
        <w:tc>
          <w:tcPr>
            <w:tcW w:type="dxa" w:w="2880"/>
          </w:tcPr>
          <w:p>
            <w:r>
              <w:t>495</w:t>
            </w:r>
          </w:p>
        </w:tc>
        <w:tc>
          <w:tcPr>
            <w:tcW w:type="dxa" w:w="2880"/>
          </w:tcPr>
          <w:p>
            <w:r>
              <w:t>12.5%</w:t>
            </w:r>
          </w:p>
        </w:tc>
      </w:tr>
      <w:tr>
        <w:tc>
          <w:tcPr>
            <w:tcW w:type="dxa" w:w="2880"/>
          </w:tcPr>
          <w:p>
            <w:r>
              <w:t>Booked</w:t>
            </w:r>
          </w:p>
        </w:tc>
        <w:tc>
          <w:tcPr>
            <w:tcW w:type="dxa" w:w="2880"/>
          </w:tcPr>
          <w:p>
            <w:r>
              <w:t>453</w:t>
            </w:r>
          </w:p>
        </w:tc>
        <w:tc>
          <w:tcPr>
            <w:tcW w:type="dxa" w:w="2880"/>
          </w:tcPr>
          <w:p>
            <w:r>
              <w:t>11.4%</w:t>
            </w:r>
          </w:p>
        </w:tc>
      </w:tr>
      <w:tr>
        <w:tc>
          <w:tcPr>
            <w:tcW w:type="dxa" w:w="2880"/>
          </w:tcPr>
          <w:p>
            <w:r>
              <w:t>Other</w:t>
            </w:r>
          </w:p>
        </w:tc>
        <w:tc>
          <w:tcPr>
            <w:tcW w:type="dxa" w:w="2880"/>
          </w:tcPr>
          <w:p>
            <w:r>
              <w:t>231</w:t>
            </w:r>
          </w:p>
        </w:tc>
        <w:tc>
          <w:tcPr>
            <w:tcW w:type="dxa" w:w="2880"/>
          </w:tcPr>
          <w:p>
            <w:r>
              <w:t>5.8%</w:t>
            </w:r>
          </w:p>
        </w:tc>
      </w:tr>
      <w:tr>
        <w:tc>
          <w:tcPr>
            <w:tcW w:type="dxa" w:w="2880"/>
          </w:tcPr>
          <w:p>
            <w:r>
              <w:t>Complaint</w:t>
            </w:r>
          </w:p>
        </w:tc>
        <w:tc>
          <w:tcPr>
            <w:tcW w:type="dxa" w:w="2880"/>
          </w:tcPr>
          <w:p>
            <w:r>
              <w:t>28</w:t>
            </w:r>
          </w:p>
        </w:tc>
        <w:tc>
          <w:tcPr>
            <w:tcW w:type="dxa" w:w="2880"/>
          </w:tcPr>
          <w:p>
            <w:r>
              <w:t>0.7%</w:t>
            </w:r>
          </w:p>
        </w:tc>
      </w:tr>
      <w:tr>
        <w:tc>
          <w:tcPr>
            <w:tcW w:type="dxa" w:w="2880"/>
          </w:tcPr>
          <w:p>
            <w:r>
              <w:t>Post-Trip</w:t>
            </w:r>
          </w:p>
        </w:tc>
        <w:tc>
          <w:tcPr>
            <w:tcW w:type="dxa" w:w="2880"/>
          </w:tcPr>
          <w:p>
            <w:r>
              <w:t>19</w:t>
            </w:r>
          </w:p>
        </w:tc>
        <w:tc>
          <w:tcPr>
            <w:tcW w:type="dxa" w:w="2880"/>
          </w:tcPr>
          <w:p>
            <w:r>
              <w:t>0.5%</w:t>
            </w:r>
          </w:p>
        </w:tc>
      </w:tr>
      <w:tr>
        <w:tc>
          <w:tcPr>
            <w:tcW w:type="dxa" w:w="2880"/>
          </w:tcPr>
          <w:p>
            <w:r>
              <w:t>post_trip_support</w:t>
            </w:r>
          </w:p>
        </w:tc>
        <w:tc>
          <w:tcPr>
            <w:tcW w:type="dxa" w:w="2880"/>
          </w:tcPr>
          <w:p>
            <w:r>
              <w:t>1</w:t>
            </w:r>
          </w:p>
        </w:tc>
        <w:tc>
          <w:tcPr>
            <w:tcW w:type="dxa" w:w="2880"/>
          </w:tcPr>
          <w:p>
            <w:r>
              <w:t>0.0%</w:t>
            </w:r>
          </w:p>
        </w:tc>
      </w:tr>
      <w:tr>
        <w:tc>
          <w:tcPr>
            <w:tcW w:type="dxa" w:w="2880"/>
          </w:tcPr>
          <w:p>
            <w:r>
              <w:t>comparison_shopping</w:t>
            </w:r>
          </w:p>
        </w:tc>
        <w:tc>
          <w:tcPr>
            <w:tcW w:type="dxa" w:w="2880"/>
          </w:tcPr>
          <w:p>
            <w:r>
              <w:t>1</w:t>
            </w:r>
          </w:p>
        </w:tc>
        <w:tc>
          <w:tcPr>
            <w:tcW w:type="dxa" w:w="2880"/>
          </w:tcPr>
          <w:p>
            <w:r>
              <w:t>0.0%</w:t>
            </w:r>
          </w:p>
        </w:tc>
      </w:tr>
      <w:tr>
        <w:tc>
          <w:tcPr>
            <w:tcW w:type="dxa" w:w="2880"/>
          </w:tcPr>
          <w:p>
            <w:r>
              <w:t>reviewing_proposal</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2,573</w:t>
            </w:r>
          </w:p>
        </w:tc>
        <w:tc>
          <w:tcPr>
            <w:tcW w:type="dxa" w:w="2880"/>
          </w:tcPr>
          <w:p>
            <w:r>
              <w:t>64.7%</w:t>
            </w:r>
          </w:p>
        </w:tc>
      </w:tr>
      <w:tr>
        <w:tc>
          <w:tcPr>
            <w:tcW w:type="dxa" w:w="2880"/>
          </w:tcPr>
          <w:p>
            <w:r>
              <w:t>Neutral</w:t>
            </w:r>
          </w:p>
        </w:tc>
        <w:tc>
          <w:tcPr>
            <w:tcW w:type="dxa" w:w="2880"/>
          </w:tcPr>
          <w:p>
            <w:r>
              <w:t>951</w:t>
            </w:r>
          </w:p>
        </w:tc>
        <w:tc>
          <w:tcPr>
            <w:tcW w:type="dxa" w:w="2880"/>
          </w:tcPr>
          <w:p>
            <w:r>
              <w:t>23.9%</w:t>
            </w:r>
          </w:p>
        </w:tc>
      </w:tr>
      <w:tr>
        <w:tc>
          <w:tcPr>
            <w:tcW w:type="dxa" w:w="2880"/>
          </w:tcPr>
          <w:p>
            <w:r>
              <w:t>Negative</w:t>
            </w:r>
          </w:p>
        </w:tc>
        <w:tc>
          <w:tcPr>
            <w:tcW w:type="dxa" w:w="2880"/>
          </w:tcPr>
          <w:p>
            <w:r>
              <w:t>299</w:t>
            </w:r>
          </w:p>
        </w:tc>
        <w:tc>
          <w:tcPr>
            <w:tcW w:type="dxa" w:w="2880"/>
          </w:tcPr>
          <w:p>
            <w:r>
              <w:t>7.5%</w:t>
            </w:r>
          </w:p>
        </w:tc>
      </w:tr>
      <w:tr>
        <w:tc>
          <w:tcPr>
            <w:tcW w:type="dxa" w:w="2880"/>
          </w:tcPr>
          <w:p>
            <w:r>
              <w:t>Very Positive</w:t>
            </w:r>
          </w:p>
        </w:tc>
        <w:tc>
          <w:tcPr>
            <w:tcW w:type="dxa" w:w="2880"/>
          </w:tcPr>
          <w:p>
            <w:r>
              <w:t>136</w:t>
            </w:r>
          </w:p>
        </w:tc>
        <w:tc>
          <w:tcPr>
            <w:tcW w:type="dxa" w:w="2880"/>
          </w:tcPr>
          <w:p>
            <w:r>
              <w:t>3.4%</w:t>
            </w:r>
          </w:p>
        </w:tc>
      </w:tr>
      <w:tr>
        <w:tc>
          <w:tcPr>
            <w:tcW w:type="dxa" w:w="2880"/>
          </w:tcPr>
          <w:p>
            <w:r>
              <w:t>Very Negative</w:t>
            </w:r>
          </w:p>
        </w:tc>
        <w:tc>
          <w:tcPr>
            <w:tcW w:type="dxa" w:w="2880"/>
          </w:tcPr>
          <w:p>
            <w:r>
              <w:t>15</w:t>
            </w:r>
          </w:p>
        </w:tc>
        <w:tc>
          <w:tcPr>
            <w:tcW w:type="dxa" w:w="2880"/>
          </w:tcPr>
          <w:p>
            <w:r>
              <w:t>0.4%</w:t>
            </w:r>
          </w:p>
        </w:tc>
      </w:tr>
    </w:tbl>
    <w:p>
      <w:r>
        <w:rPr>
          <w:b/>
        </w:rPr>
        <w:t xml:space="preserve">Numeric average sentiment: </w:t>
      </w:r>
      <w:r>
        <w:rPr>
          <w:i w:val="0"/>
        </w:rPr>
        <w:t xml:space="preserve">0.45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2,628</w:t>
            </w:r>
          </w:p>
        </w:tc>
        <w:tc>
          <w:tcPr>
            <w:tcW w:type="dxa" w:w="2880"/>
          </w:tcPr>
          <w:p>
            <w:r>
              <w:t>66.1%</w:t>
            </w:r>
          </w:p>
        </w:tc>
      </w:tr>
      <w:tr>
        <w:tc>
          <w:tcPr>
            <w:tcW w:type="dxa" w:w="2880"/>
          </w:tcPr>
          <w:p>
            <w:r>
              <w:t>Improving</w:t>
            </w:r>
          </w:p>
        </w:tc>
        <w:tc>
          <w:tcPr>
            <w:tcW w:type="dxa" w:w="2880"/>
          </w:tcPr>
          <w:p>
            <w:r>
              <w:t>1,059</w:t>
            </w:r>
          </w:p>
        </w:tc>
        <w:tc>
          <w:tcPr>
            <w:tcW w:type="dxa" w:w="2880"/>
          </w:tcPr>
          <w:p>
            <w:r>
              <w:t>26.6%</w:t>
            </w:r>
          </w:p>
        </w:tc>
      </w:tr>
      <w:tr>
        <w:tc>
          <w:tcPr>
            <w:tcW w:type="dxa" w:w="2880"/>
          </w:tcPr>
          <w:p>
            <w:r>
              <w:t>Declining</w:t>
            </w:r>
          </w:p>
        </w:tc>
        <w:tc>
          <w:tcPr>
            <w:tcW w:type="dxa" w:w="2880"/>
          </w:tcPr>
          <w:p>
            <w:r>
              <w:t>217</w:t>
            </w:r>
          </w:p>
        </w:tc>
        <w:tc>
          <w:tcPr>
            <w:tcW w:type="dxa" w:w="2880"/>
          </w:tcPr>
          <w:p>
            <w:r>
              <w:t>5.5%</w:t>
            </w:r>
          </w:p>
        </w:tc>
      </w:tr>
      <w:tr>
        <w:tc>
          <w:tcPr>
            <w:tcW w:type="dxa" w:w="2880"/>
          </w:tcPr>
          <w:p>
            <w:r>
              <w:t>Mixed</w:t>
            </w:r>
          </w:p>
        </w:tc>
        <w:tc>
          <w:tcPr>
            <w:tcW w:type="dxa" w:w="2880"/>
          </w:tcPr>
          <w:p>
            <w:r>
              <w:t>70</w:t>
            </w:r>
          </w:p>
        </w:tc>
        <w:tc>
          <w:tcPr>
            <w:tcW w:type="dxa" w:w="2880"/>
          </w:tcPr>
          <w:p>
            <w:r>
              <w:t>1.8%</w:t>
            </w:r>
          </w:p>
        </w:tc>
      </w:tr>
    </w:tbl>
    <w:p>
      <w:pPr>
        <w:pStyle w:val="Heading1"/>
      </w:pPr>
      <w:r>
        <w:t>What the numbers tell us</w:t>
      </w:r>
    </w:p>
    <w:p>
      <w:r>
        <w:t># What the numbers tell us — Karen Vleeshouwer</w:t>
      </w:r>
    </w:p>
    <w:p>
      <w:r>
        <w:t>**Standing relative to the team.** Across 3,974 analyzed calls, Karen runs ahead of the team on both headline metrics: average sentiment 0.45 vs. team 0.39, and conversion proxy 0.49 vs. team 0.35. Positive or very-positive sentiment lands on 68.1% of her calls, and 26.6% of conversations show an improving trajectory — well above the team's 0.00 improving share. The concern sits in the same trajectory data: 66.1% of her calls are "steady" and 5.5% decline. She is lifting rooms that are already warm more than she is rescuing cold ones, and when calls go bad they tend to stay bad (the very-negative bucket is small at 0.4%, but the declined bucket is 217 calls).</w:t>
      </w:r>
    </w:p>
    <w:p>
      <w:r>
        <w:t>**Volume and mix.** The book is healthy and balanced. Ready-to-book (25.0%, 995 calls) plus booked (11.4%, 453) plus rebooking (12.5%, 495) means roughly 49% of her workload is transactional or post-sale, while researching (22.4%) and support (21.6%) fill out the front and back ends of the funnel. Outbound (2,515) outweighs inbound (1,459) almost 2:1, which is consistent with a planner actively managing a pipeline rather than just taking what comes in. Destination and supplier mix skews to her strengths — Viking (403), Globus (326), Viking River (276), Uniworld (233), Tauck (194) — European river and premium escorted product, which lines up with the Europe/Paris/Amsterdam/Rome destination concentration. No red flags in the mix; this looks like a senior planner's distribution.</w:t>
      </w:r>
    </w:p>
    <w:p>
      <w:r>
        <w:t>**Sentiment and trajectory — moving the room.** She does move rooms when there's something to move. The Bill and April Mississippi River call (sentiment 0.85, trajectory improved) opens with "That's why we're calling you. We figured you would have the insides on the experience as people have." — pure trust transfer — and closes in-call. The Laura Viking rebooking (sentiment 0.55, trajectory improved) shows the same pattern: a customer juggling Thanksgiving, hurricane season, a $600-per-person price delta and surprise $800–$1,000 airfare, and Karen still gets to "We'll do that and call back and let me know." Even Maria's rebooking call, which started with venting about a cabin near the kitchen and a stuck refund, finished improved with a Sky Princess hold and a quote request. The honest counterweight is the two February 2025 research calls (sentiment -0.9, declined) where "How many questions are you gonna ask me until I get a price?" was the verbatim moment — Karen ran her qualification script on a customer who wanted a number first. She manages well; she does not always read tempo on cold inbound research.</w:t>
      </w:r>
    </w:p>
    <w:p>
      <w:r>
        <w:t>**Closing technique.** Signal is thin in the structured close fields — most best/worst examples have closing_attempt null — but the Bill and April call is the cleanest artifact we have. The close is direct and procedural: "Do you want to pay that now? Okay, and what is, I'm gonna have to get a credit card number for my bill, if you don't mind," followed by "Alright, I've got you in cabin 411... I will pay that $50 deposit." Outcome: closed_in_call. The technique works when the customer is already leaning in (the Cheryl deposit calls are essentially inbound closes she just has to receive cleanly). The one logged missed_signal is meaningful: Bill flagged tight final-payment timing and asked "is there way they can push that out or not," and Karen "only explained Viking's policy without offering workaround options like booking a second cruise to defer payment." She closed the deal but left a save-and-expand lever on the table.</w:t>
      </w:r>
    </w:p>
    <w:p>
      <w:r>
        <w:t>**Coaching priority — front-load price on cold research intents.** The single most repeatable failure mode is the qualification-before-price reflex on inbound researching calls. Verbatim: **"How many questions are you gonna ask me until I get a price?"** That call hit -0.9 sentiment and declined trajectory, and the same pattern shows up twice on the same day, which suggests reflex, not bad luck. The fix is narrow: on inbound research calls where the customer leads with a price ask, give a ballpark band in the first 60 seconds ("economy NYC departures right now run X to Y") and qualify against that anchor. This is a one-behavior change, and it directly attacks her weakest call type.</w:t>
      </w:r>
    </w:p>
    <w:p>
      <w:r>
        <w:t>**Amplify — the trust-transfer opening on rebooking and repeat customers.** The thing to protect is whatever Karen is doing that makes customers say "That's why we're calling you. We figured you would have the insides on the experience." She converts that trust into in-call closes (Bill and April), recovers it after prior service failures (Maria's "You and I booked it and I asked you"), and uses it to hold complex rebookings together under price and date pressure (Laura). Her 0.49 conversion proxy vs. team 0.35 is largely built on this. Scale it by giving her more of the rebooking and repeat-client volume — she runs 495 rebookings already and clearly handles the emotional load — and by having her record two or three short internal clips of how she opens those calls so the rest of the team can model it.</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