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Heather Baca — Performance Report</w:t>
      </w:r>
    </w:p>
    <w:p>
      <w:r>
        <w:rPr>
          <w:i/>
        </w:rPr>
        <w:t>All time · 248 analyzed calls · generated 2026-05-26 21:38</w:t>
      </w:r>
    </w:p>
    <w:p>
      <w:pPr>
        <w:pStyle w:val="Heading1"/>
      </w:pPr>
      <w:r>
        <w:t>Overview</w:t>
      </w:r>
    </w:p>
    <w:p>
      <w:r>
        <w:t>Heather Baca handled 248 analyzed calls from 2026-04-21 to 2026-05-22. Average customer sentiment was 0.44 (on a -1 to +1 scale), with an average call duration of 7 min 49 sec. Conversion proxy (booked + ready-to-book + rebooking ÷ total) is 40%, and the share of calls where the customer's mood improved during the call is 0%. Direction mix: inbound 113 / outbound 135.</w:t>
      </w:r>
    </w:p>
    <w:p>
      <w:r>
        <w:rPr>
          <w:b/>
        </w:rPr>
        <w:t xml:space="preserve">Top destinations handled: </w:t>
      </w:r>
      <w:r>
        <w:t>Europe (17), Alaska (12), Paris (10), Australia (9), New Zealand (9), Vancouver (9)</w:t>
      </w:r>
    </w:p>
    <w:p>
      <w:r>
        <w:rPr>
          <w:b/>
        </w:rPr>
        <w:t xml:space="preserve">Top cruise lines handled: </w:t>
      </w:r>
      <w:r>
        <w:t>Viking (28), Viking River Cruises (23), AMA Waterways (14), Globus (14), Uniworld (13), Holland America (13)</w:t>
      </w:r>
    </w:p>
    <w:p>
      <w:pPr>
        <w:pStyle w:val="Heading1"/>
      </w:pPr>
      <w:r>
        <w:t>Calls by Intent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96</w:t>
            </w:r>
          </w:p>
        </w:tc>
        <w:tc>
          <w:tcPr>
            <w:tcW w:type="dxa" w:w="2880"/>
          </w:tcPr>
          <w:p>
            <w:r>
              <w:t>38.7%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45</w:t>
            </w:r>
          </w:p>
        </w:tc>
        <w:tc>
          <w:tcPr>
            <w:tcW w:type="dxa" w:w="2880"/>
          </w:tcPr>
          <w:p>
            <w:r>
              <w:t>18.1%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35</w:t>
            </w:r>
          </w:p>
        </w:tc>
        <w:tc>
          <w:tcPr>
            <w:tcW w:type="dxa" w:w="2880"/>
          </w:tcPr>
          <w:p>
            <w:r>
              <w:t>14.1%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32</w:t>
            </w:r>
          </w:p>
        </w:tc>
        <w:tc>
          <w:tcPr>
            <w:tcW w:type="dxa" w:w="2880"/>
          </w:tcPr>
          <w:p>
            <w:r>
              <w:t>12.9%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22</w:t>
            </w:r>
          </w:p>
        </w:tc>
        <w:tc>
          <w:tcPr>
            <w:tcW w:type="dxa" w:w="2880"/>
          </w:tcPr>
          <w:p>
            <w:r>
              <w:t>8.9%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17</w:t>
            </w:r>
          </w:p>
        </w:tc>
        <w:tc>
          <w:tcPr>
            <w:tcW w:type="dxa" w:w="2880"/>
          </w:tcPr>
          <w:p>
            <w:r>
              <w:t>6.9%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0.4%</w:t>
            </w:r>
          </w:p>
        </w:tc>
      </w:tr>
    </w:tbl>
    <w:p>
      <w:pPr>
        <w:pStyle w:val="Heading1"/>
      </w:pPr>
      <w:r>
        <w:t>Calls by Sentiment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Sentiment Label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Positive</w:t>
            </w:r>
          </w:p>
        </w:tc>
        <w:tc>
          <w:tcPr>
            <w:tcW w:type="dxa" w:w="2880"/>
          </w:tcPr>
          <w:p>
            <w:r>
              <w:t>165</w:t>
            </w:r>
          </w:p>
        </w:tc>
        <w:tc>
          <w:tcPr>
            <w:tcW w:type="dxa" w:w="2880"/>
          </w:tcPr>
          <w:p>
            <w:r>
              <w:t>66.5%</w:t>
            </w:r>
          </w:p>
        </w:tc>
      </w:tr>
      <w:tr>
        <w:tc>
          <w:tcPr>
            <w:tcW w:type="dxa" w:w="2880"/>
          </w:tcPr>
          <w:p>
            <w:r>
              <w:t>Neutral</w:t>
            </w:r>
          </w:p>
        </w:tc>
        <w:tc>
          <w:tcPr>
            <w:tcW w:type="dxa" w:w="2880"/>
          </w:tcPr>
          <w:p>
            <w:r>
              <w:t>56</w:t>
            </w:r>
          </w:p>
        </w:tc>
        <w:tc>
          <w:tcPr>
            <w:tcW w:type="dxa" w:w="2880"/>
          </w:tcPr>
          <w:p>
            <w:r>
              <w:t>22.6%</w:t>
            </w:r>
          </w:p>
        </w:tc>
      </w:tr>
      <w:tr>
        <w:tc>
          <w:tcPr>
            <w:tcW w:type="dxa" w:w="2880"/>
          </w:tcPr>
          <w:p>
            <w:r>
              <w:t>Negative</w:t>
            </w:r>
          </w:p>
        </w:tc>
        <w:tc>
          <w:tcPr>
            <w:tcW w:type="dxa" w:w="2880"/>
          </w:tcPr>
          <w:p>
            <w:r>
              <w:t>20</w:t>
            </w:r>
          </w:p>
        </w:tc>
        <w:tc>
          <w:tcPr>
            <w:tcW w:type="dxa" w:w="2880"/>
          </w:tcPr>
          <w:p>
            <w:r>
              <w:t>8.1%</w:t>
            </w:r>
          </w:p>
        </w:tc>
      </w:tr>
      <w:tr>
        <w:tc>
          <w:tcPr>
            <w:tcW w:type="dxa" w:w="2880"/>
          </w:tcPr>
          <w:p>
            <w:r>
              <w:t>Very Positive</w:t>
            </w:r>
          </w:p>
        </w:tc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2.4%</w:t>
            </w:r>
          </w:p>
        </w:tc>
      </w:tr>
      <w:tr>
        <w:tc>
          <w:tcPr>
            <w:tcW w:type="dxa" w:w="2880"/>
          </w:tcPr>
          <w:p>
            <w:r>
              <w:t>Very Negative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0.4%</w:t>
            </w:r>
          </w:p>
        </w:tc>
      </w:tr>
    </w:tbl>
    <w:p>
      <w:r>
        <w:rPr>
          <w:b/>
        </w:rPr>
        <w:t xml:space="preserve">Numeric average sentiment: </w:t>
      </w:r>
      <w:r>
        <w:rPr>
          <w:i w:val="0"/>
        </w:rPr>
        <w:t xml:space="preserve">0.44    </w:t>
      </w:r>
      <w:r>
        <w:rPr>
          <w:i/>
        </w:rPr>
        <w:t>(team average: 0.39)</w:t>
      </w:r>
    </w:p>
    <w:p>
      <w:pPr>
        <w:pStyle w:val="Heading1"/>
      </w:pPr>
      <w:r>
        <w:t>Calls Trajectory</w:t>
      </w:r>
    </w:p>
    <w:p>
      <w:r>
        <w:t>Trajectory captures whether the customer's emotional state improved, declined, or held steady during each call. A high 'improving' share indicates the planner is moving customers toward a better state.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Trajectory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Steady</w:t>
            </w:r>
          </w:p>
        </w:tc>
        <w:tc>
          <w:tcPr>
            <w:tcW w:type="dxa" w:w="2880"/>
          </w:tcPr>
          <w:p>
            <w:r>
              <w:t>185</w:t>
            </w:r>
          </w:p>
        </w:tc>
        <w:tc>
          <w:tcPr>
            <w:tcW w:type="dxa" w:w="2880"/>
          </w:tcPr>
          <w:p>
            <w:r>
              <w:t>74.6%</w:t>
            </w:r>
          </w:p>
        </w:tc>
      </w:tr>
      <w:tr>
        <w:tc>
          <w:tcPr>
            <w:tcW w:type="dxa" w:w="2880"/>
          </w:tcPr>
          <w:p>
            <w:r>
              <w:t>Improving</w:t>
            </w:r>
          </w:p>
        </w:tc>
        <w:tc>
          <w:tcPr>
            <w:tcW w:type="dxa" w:w="2880"/>
          </w:tcPr>
          <w:p>
            <w:r>
              <w:t>51</w:t>
            </w:r>
          </w:p>
        </w:tc>
        <w:tc>
          <w:tcPr>
            <w:tcW w:type="dxa" w:w="2880"/>
          </w:tcPr>
          <w:p>
            <w:r>
              <w:t>20.6%</w:t>
            </w:r>
          </w:p>
        </w:tc>
      </w:tr>
      <w:tr>
        <w:tc>
          <w:tcPr>
            <w:tcW w:type="dxa" w:w="2880"/>
          </w:tcPr>
          <w:p>
            <w:r>
              <w:t>Declining</w:t>
            </w:r>
          </w:p>
        </w:tc>
        <w:tc>
          <w:tcPr>
            <w:tcW w:type="dxa" w:w="2880"/>
          </w:tcPr>
          <w:p>
            <w:r>
              <w:t>11</w:t>
            </w:r>
          </w:p>
        </w:tc>
        <w:tc>
          <w:tcPr>
            <w:tcW w:type="dxa" w:w="2880"/>
          </w:tcPr>
          <w:p>
            <w:r>
              <w:t>4.4%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0.4%</w:t>
            </w:r>
          </w:p>
        </w:tc>
      </w:tr>
    </w:tbl>
    <w:p>
      <w:pPr>
        <w:pStyle w:val="Heading1"/>
      </w:pPr>
      <w:r>
        <w:t>What the numbers tell us</w:t>
      </w:r>
    </w:p>
    <w:p>
      <w:r>
        <w:t># What the numbers tell us — Heather Baca</w:t>
      </w:r>
    </w:p>
    <w:p>
      <w:r>
        <w:t>**Standing vs. team.** Heather is above the team on both headline metrics: average sentiment 0.44 vs. team 0.39, and conversion proxy 0.40 vs. team 0.35. Sentiment distribution backs this up — 68.9% of her 248 calls land positive or very positive, and only 8.5% are negative or very negative. The concern: improving-trajectory share is 0.00 in the rollup, and the underlying trajectory data shows 74.6% steady, 20.6% improved, 4.4% declined. She holds the room well but the rollup flags that she isn't credited with moving sentiment upward as a pattern. Worth reconciling the 20.6% "improved" against the 0.00 improving share before drawing conclusions.</w:t>
      </w:r>
    </w:p>
    <w:p>
      <w:r>
        <w:t>**Volume and mix.** 248 calls is a substantial book. The mix skews toward top-of-funnel: 38.7% researching (96 calls) and only 18.1% ready_to_book (45). She is also absorbing real service load — 14.1% support (35) and 12.9% rebooking (32) — which is appropriate given her tenure signal but dilutes time available for closing-stage work. Direction is balanced (135 outbound / 113 inbound). Product mix is heavy on river and premium ocean — Viking and Viking River Cruises together account for 63 calls, with AMA, Uniworld, Globus, Holland America, and Tauck filling out the book. This is a high-consideration product set; the researching-heavy intent mix is consistent with that.</w:t>
      </w:r>
    </w:p>
    <w:p>
      <w:r>
        <w:t>**Sentiment and trajectory.** She manages the room more than she moves it. 74.6% steady is the dominant pattern. Where she does move it, the lift is real: on the Carl/Viking transfer call (sentiment 0.75, improved), she converted a price-shopping inbound into a confirmed transfer — *"Your pricing is $1,200 less and so I'm like, okay, for $1,200 I'll cancel the other one and go with you."* On the Anne/rebooking call (sentiment -0.4, improved), she took a customer threatening a demand letter over a $15–20k operator price hike and pulled the call into productive alternative-search territory. The declined calls (4.4%) cluster around operational breakdowns, not interpersonal failure — see the May 12 outbound where the customer answered thinking Heather was a different company entirely: *"I didn't catch that clearly. Could you say your name once more, please."*</w:t>
      </w:r>
    </w:p>
    <w:p>
      <w:r>
        <w:t>**Closing technique.** No signal. Every example in the payload — best, worst, high-objection — has `closing_attempt: null`, `close_outcome: null`, empty `close_language`, and empty `missed_signals`. We cannot evaluate closing mechanics from this data. What we can see is that her best outcomes are inbound ready_to_book calls where the customer closes themselves: *"I got the proposal, I want to give you my credit card for the deposit"* (Stuart, Silversea) and *"I'm ready to give you a credit card number... thanks for your help. I think Patty was very impressed"* (Norbert, Regent). These are order-takes on warm proposals, not closes she engineered. Recommend instrumenting close_language capture before next review.</w:t>
      </w:r>
    </w:p>
    <w:p>
      <w:r>
        <w:t>**Coaching priority — pricing transparency and proactive confirmation hygiene.** The Anne rebooking call on May 20 is the moment to study: *"All these are changed, they're all change. It's 19800 they up the prices. How is this possible?"* Four bookings, prices $5,000+ above original quotes, payment deadline the next day, no documentation trail. The earlier May 21 Anne call surfaces the same pattern from the operator side: *"It's a good thing we were on the phone yesterday together and we asked about that upgrade cause I never would have known I was paying $15 to $20,000 more."* Heather is inheriting price drift that the customer discovers, not that she surfaces. Develop a habit of proactively reconciling current operator pricing against the original confirmation at each customer touchpoint on multi-pax, long-lead bookings — before the customer finds it.</w:t>
      </w:r>
    </w:p>
    <w:p>
      <w:r>
        <w:t>**What to amplify — objection handling on transfer/competitive inbounds.** The Carl call is the template to scale. He came in with five distinct objections (airfare promo eligibility, upgrade guarantees, seat selection, dietary accommodations on excursions, missed-ship liability) and left with a transfer commitment: *"Yes, we want, we want to do that. Yeah, that's a go too."* She landed a sentiment of 0.75 with improving trajectory on a call that started as a price comparison against a direct Viking booking. Given that Viking and Viking River represent 51 of her tracked calls, this competitive-transfer motion is directly repeatable. Have her walk the team through the Carl call structure.</w:t>
      </w:r>
    </w:p>
    <w:p/>
    <w:p>
      <w:r>
        <w:rPr>
          <w:i/>
          <w:color w:val="808080"/>
          <w:sz w:val="18"/>
        </w:rPr>
        <w:t>Internal leadership document. Source: Dialpad call transcripts analyzed by Claude.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