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Fia Bauer — Performance Report</w:t>
      </w:r>
    </w:p>
    <w:p>
      <w:r>
        <w:rPr>
          <w:i/>
        </w:rPr>
        <w:t>All time · 9482 analyzed calls · generated 2026-05-26 21:30</w:t>
      </w:r>
    </w:p>
    <w:p>
      <w:pPr>
        <w:pStyle w:val="Heading1"/>
      </w:pPr>
      <w:r>
        <w:t>Overview</w:t>
      </w:r>
    </w:p>
    <w:p>
      <w:r>
        <w:t>Fia Bauer handled 9,482 analyzed calls from 2023-07-17 to 2026-05-22. Average customer sentiment was 0.56 (on a -1 to +1 scale), with an average call duration of 11 min 17 sec. Conversion proxy (booked + ready-to-book + rebooking ÷ total) is 55%, and the share of calls where the customer's mood improved during the call is 0%. Direction mix: inbound 6,200 / outbound 3,282.</w:t>
      </w:r>
    </w:p>
    <w:p>
      <w:r>
        <w:rPr>
          <w:b/>
        </w:rPr>
        <w:t xml:space="preserve">Top destinations handled: </w:t>
      </w:r>
      <w:r>
        <w:t>Europe (503), Miami (483), London (424), Paris (413), Australia (412), Amsterdam (407)</w:t>
      </w:r>
    </w:p>
    <w:p>
      <w:r>
        <w:rPr>
          <w:b/>
        </w:rPr>
        <w:t xml:space="preserve">Top cruise lines handled: </w:t>
      </w:r>
      <w:r>
        <w:t>Viking (1423), Viking River Cruises (873), Silversea (528), Tauck (499), Uniworld (359), Regent (359)</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2,478</w:t>
            </w:r>
          </w:p>
        </w:tc>
        <w:tc>
          <w:tcPr>
            <w:tcW w:type="dxa" w:w="2880"/>
          </w:tcPr>
          <w:p>
            <w:r>
              <w:t>26.1%</w:t>
            </w:r>
          </w:p>
        </w:tc>
      </w:tr>
      <w:tr>
        <w:tc>
          <w:tcPr>
            <w:tcW w:type="dxa" w:w="2880"/>
          </w:tcPr>
          <w:p>
            <w:r>
              <w:t>Support</w:t>
            </w:r>
          </w:p>
        </w:tc>
        <w:tc>
          <w:tcPr>
            <w:tcW w:type="dxa" w:w="2880"/>
          </w:tcPr>
          <w:p>
            <w:r>
              <w:t>2,357</w:t>
            </w:r>
          </w:p>
        </w:tc>
        <w:tc>
          <w:tcPr>
            <w:tcW w:type="dxa" w:w="2880"/>
          </w:tcPr>
          <w:p>
            <w:r>
              <w:t>24.9%</w:t>
            </w:r>
          </w:p>
        </w:tc>
      </w:tr>
      <w:tr>
        <w:tc>
          <w:tcPr>
            <w:tcW w:type="dxa" w:w="2880"/>
          </w:tcPr>
          <w:p>
            <w:r>
              <w:t>Researching</w:t>
            </w:r>
          </w:p>
        </w:tc>
        <w:tc>
          <w:tcPr>
            <w:tcW w:type="dxa" w:w="2880"/>
          </w:tcPr>
          <w:p>
            <w:r>
              <w:t>1,524</w:t>
            </w:r>
          </w:p>
        </w:tc>
        <w:tc>
          <w:tcPr>
            <w:tcW w:type="dxa" w:w="2880"/>
          </w:tcPr>
          <w:p>
            <w:r>
              <w:t>16.1%</w:t>
            </w:r>
          </w:p>
        </w:tc>
      </w:tr>
      <w:tr>
        <w:tc>
          <w:tcPr>
            <w:tcW w:type="dxa" w:w="2880"/>
          </w:tcPr>
          <w:p>
            <w:r>
              <w:t>Booked</w:t>
            </w:r>
          </w:p>
        </w:tc>
        <w:tc>
          <w:tcPr>
            <w:tcW w:type="dxa" w:w="2880"/>
          </w:tcPr>
          <w:p>
            <w:r>
              <w:t>1,397</w:t>
            </w:r>
          </w:p>
        </w:tc>
        <w:tc>
          <w:tcPr>
            <w:tcW w:type="dxa" w:w="2880"/>
          </w:tcPr>
          <w:p>
            <w:r>
              <w:t>14.7%</w:t>
            </w:r>
          </w:p>
        </w:tc>
      </w:tr>
      <w:tr>
        <w:tc>
          <w:tcPr>
            <w:tcW w:type="dxa" w:w="2880"/>
          </w:tcPr>
          <w:p>
            <w:r>
              <w:t>Rebooking</w:t>
            </w:r>
          </w:p>
        </w:tc>
        <w:tc>
          <w:tcPr>
            <w:tcW w:type="dxa" w:w="2880"/>
          </w:tcPr>
          <w:p>
            <w:r>
              <w:t>1,335</w:t>
            </w:r>
          </w:p>
        </w:tc>
        <w:tc>
          <w:tcPr>
            <w:tcW w:type="dxa" w:w="2880"/>
          </w:tcPr>
          <w:p>
            <w:r>
              <w:t>14.1%</w:t>
            </w:r>
          </w:p>
        </w:tc>
      </w:tr>
      <w:tr>
        <w:tc>
          <w:tcPr>
            <w:tcW w:type="dxa" w:w="2880"/>
          </w:tcPr>
          <w:p>
            <w:r>
              <w:t>Other</w:t>
            </w:r>
          </w:p>
        </w:tc>
        <w:tc>
          <w:tcPr>
            <w:tcW w:type="dxa" w:w="2880"/>
          </w:tcPr>
          <w:p>
            <w:r>
              <w:t>212</w:t>
            </w:r>
          </w:p>
        </w:tc>
        <w:tc>
          <w:tcPr>
            <w:tcW w:type="dxa" w:w="2880"/>
          </w:tcPr>
          <w:p>
            <w:r>
              <w:t>2.2%</w:t>
            </w:r>
          </w:p>
        </w:tc>
      </w:tr>
      <w:tr>
        <w:tc>
          <w:tcPr>
            <w:tcW w:type="dxa" w:w="2880"/>
          </w:tcPr>
          <w:p>
            <w:r>
              <w:t>Complaint</w:t>
            </w:r>
          </w:p>
        </w:tc>
        <w:tc>
          <w:tcPr>
            <w:tcW w:type="dxa" w:w="2880"/>
          </w:tcPr>
          <w:p>
            <w:r>
              <w:t>113</w:t>
            </w:r>
          </w:p>
        </w:tc>
        <w:tc>
          <w:tcPr>
            <w:tcW w:type="dxa" w:w="2880"/>
          </w:tcPr>
          <w:p>
            <w:r>
              <w:t>1.2%</w:t>
            </w:r>
          </w:p>
        </w:tc>
      </w:tr>
      <w:tr>
        <w:tc>
          <w:tcPr>
            <w:tcW w:type="dxa" w:w="2880"/>
          </w:tcPr>
          <w:p>
            <w:r>
              <w:t>Post-Trip</w:t>
            </w:r>
          </w:p>
        </w:tc>
        <w:tc>
          <w:tcPr>
            <w:tcW w:type="dxa" w:w="2880"/>
          </w:tcPr>
          <w:p>
            <w:r>
              <w:t>66</w:t>
            </w:r>
          </w:p>
        </w:tc>
        <w:tc>
          <w:tcPr>
            <w:tcW w:type="dxa" w:w="2880"/>
          </w:tcPr>
          <w:p>
            <w:r>
              <w:t>0.7%</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6,883</w:t>
            </w:r>
          </w:p>
        </w:tc>
        <w:tc>
          <w:tcPr>
            <w:tcW w:type="dxa" w:w="2880"/>
          </w:tcPr>
          <w:p>
            <w:r>
              <w:t>72.6%</w:t>
            </w:r>
          </w:p>
        </w:tc>
      </w:tr>
      <w:tr>
        <w:tc>
          <w:tcPr>
            <w:tcW w:type="dxa" w:w="2880"/>
          </w:tcPr>
          <w:p>
            <w:r>
              <w:t>Neutral</w:t>
            </w:r>
          </w:p>
        </w:tc>
        <w:tc>
          <w:tcPr>
            <w:tcW w:type="dxa" w:w="2880"/>
          </w:tcPr>
          <w:p>
            <w:r>
              <w:t>1,422</w:t>
            </w:r>
          </w:p>
        </w:tc>
        <w:tc>
          <w:tcPr>
            <w:tcW w:type="dxa" w:w="2880"/>
          </w:tcPr>
          <w:p>
            <w:r>
              <w:t>15.0%</w:t>
            </w:r>
          </w:p>
        </w:tc>
      </w:tr>
      <w:tr>
        <w:tc>
          <w:tcPr>
            <w:tcW w:type="dxa" w:w="2880"/>
          </w:tcPr>
          <w:p>
            <w:r>
              <w:t>Very Positive</w:t>
            </w:r>
          </w:p>
        </w:tc>
        <w:tc>
          <w:tcPr>
            <w:tcW w:type="dxa" w:w="2880"/>
          </w:tcPr>
          <w:p>
            <w:r>
              <w:t>676</w:t>
            </w:r>
          </w:p>
        </w:tc>
        <w:tc>
          <w:tcPr>
            <w:tcW w:type="dxa" w:w="2880"/>
          </w:tcPr>
          <w:p>
            <w:r>
              <w:t>7.1%</w:t>
            </w:r>
          </w:p>
        </w:tc>
      </w:tr>
      <w:tr>
        <w:tc>
          <w:tcPr>
            <w:tcW w:type="dxa" w:w="2880"/>
          </w:tcPr>
          <w:p>
            <w:r>
              <w:t>Negative</w:t>
            </w:r>
          </w:p>
        </w:tc>
        <w:tc>
          <w:tcPr>
            <w:tcW w:type="dxa" w:w="2880"/>
          </w:tcPr>
          <w:p>
            <w:r>
              <w:t>480</w:t>
            </w:r>
          </w:p>
        </w:tc>
        <w:tc>
          <w:tcPr>
            <w:tcW w:type="dxa" w:w="2880"/>
          </w:tcPr>
          <w:p>
            <w:r>
              <w:t>5.1%</w:t>
            </w:r>
          </w:p>
        </w:tc>
      </w:tr>
      <w:tr>
        <w:tc>
          <w:tcPr>
            <w:tcW w:type="dxa" w:w="2880"/>
          </w:tcPr>
          <w:p>
            <w:r>
              <w:t>Very Negative</w:t>
            </w:r>
          </w:p>
        </w:tc>
        <w:tc>
          <w:tcPr>
            <w:tcW w:type="dxa" w:w="2880"/>
          </w:tcPr>
          <w:p>
            <w:r>
              <w:t>20</w:t>
            </w:r>
          </w:p>
        </w:tc>
        <w:tc>
          <w:tcPr>
            <w:tcW w:type="dxa" w:w="2880"/>
          </w:tcPr>
          <w:p>
            <w:r>
              <w:t>0.2%</w:t>
            </w:r>
          </w:p>
        </w:tc>
      </w:tr>
      <w:tr>
        <w:tc>
          <w:tcPr>
            <w:tcW w:type="dxa" w:w="2880"/>
          </w:tcPr>
          <w:p>
            <w:r>
              <w:t>mixed</w:t>
            </w:r>
          </w:p>
        </w:tc>
        <w:tc>
          <w:tcPr>
            <w:tcW w:type="dxa" w:w="2880"/>
          </w:tcPr>
          <w:p>
            <w:r>
              <w:t>1</w:t>
            </w:r>
          </w:p>
        </w:tc>
        <w:tc>
          <w:tcPr>
            <w:tcW w:type="dxa" w:w="2880"/>
          </w:tcPr>
          <w:p>
            <w:r>
              <w:t>0.0%</w:t>
            </w:r>
          </w:p>
        </w:tc>
      </w:tr>
    </w:tbl>
    <w:p>
      <w:r>
        <w:rPr>
          <w:b/>
        </w:rPr>
        <w:t xml:space="preserve">Numeric average sentiment: </w:t>
      </w:r>
      <w:r>
        <w:rPr>
          <w:i w:val="0"/>
        </w:rPr>
        <w:t xml:space="preserve">0.56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5,699</w:t>
            </w:r>
          </w:p>
        </w:tc>
        <w:tc>
          <w:tcPr>
            <w:tcW w:type="dxa" w:w="2880"/>
          </w:tcPr>
          <w:p>
            <w:r>
              <w:t>60.1%</w:t>
            </w:r>
          </w:p>
        </w:tc>
      </w:tr>
      <w:tr>
        <w:tc>
          <w:tcPr>
            <w:tcW w:type="dxa" w:w="2880"/>
          </w:tcPr>
          <w:p>
            <w:r>
              <w:t>Improving</w:t>
            </w:r>
          </w:p>
        </w:tc>
        <w:tc>
          <w:tcPr>
            <w:tcW w:type="dxa" w:w="2880"/>
          </w:tcPr>
          <w:p>
            <w:r>
              <w:t>3,267</w:t>
            </w:r>
          </w:p>
        </w:tc>
        <w:tc>
          <w:tcPr>
            <w:tcW w:type="dxa" w:w="2880"/>
          </w:tcPr>
          <w:p>
            <w:r>
              <w:t>34.5%</w:t>
            </w:r>
          </w:p>
        </w:tc>
      </w:tr>
      <w:tr>
        <w:tc>
          <w:tcPr>
            <w:tcW w:type="dxa" w:w="2880"/>
          </w:tcPr>
          <w:p>
            <w:r>
              <w:t>Declining</w:t>
            </w:r>
          </w:p>
        </w:tc>
        <w:tc>
          <w:tcPr>
            <w:tcW w:type="dxa" w:w="2880"/>
          </w:tcPr>
          <w:p>
            <w:r>
              <w:t>399</w:t>
            </w:r>
          </w:p>
        </w:tc>
        <w:tc>
          <w:tcPr>
            <w:tcW w:type="dxa" w:w="2880"/>
          </w:tcPr>
          <w:p>
            <w:r>
              <w:t>4.2%</w:t>
            </w:r>
          </w:p>
        </w:tc>
      </w:tr>
      <w:tr>
        <w:tc>
          <w:tcPr>
            <w:tcW w:type="dxa" w:w="2880"/>
          </w:tcPr>
          <w:p>
            <w:r>
              <w:t>Mixed</w:t>
            </w:r>
          </w:p>
        </w:tc>
        <w:tc>
          <w:tcPr>
            <w:tcW w:type="dxa" w:w="2880"/>
          </w:tcPr>
          <w:p>
            <w:r>
              <w:t>117</w:t>
            </w:r>
          </w:p>
        </w:tc>
        <w:tc>
          <w:tcPr>
            <w:tcW w:type="dxa" w:w="2880"/>
          </w:tcPr>
          <w:p>
            <w:r>
              <w:t>1.2%</w:t>
            </w:r>
          </w:p>
        </w:tc>
      </w:tr>
    </w:tbl>
    <w:p>
      <w:pPr>
        <w:pStyle w:val="Heading1"/>
      </w:pPr>
      <w:r>
        <w:t>What the numbers tell us</w:t>
      </w:r>
    </w:p>
    <w:p>
      <w:r>
        <w:t># What the numbers tell us — Fia Bauer</w:t>
      </w:r>
    </w:p>
    <w:p>
      <w:r>
        <w:t>## Standing relative to the team</w:t>
      </w:r>
    </w:p>
    <w:p>
      <w:r>
        <w:t>Fia is operating well above the team baseline on the two metrics that matter most. Average sentiment of 0.56 versus the team's 0.39 is a meaningful gap, and her conversion proxy of 0.55 against a team average of 0.35 is a 20-point lead. 72.6% of her calls land in positive territory and another 7.1% in very positive; only 5.3% are negative or very negative. The concern is trajectory: her improving share is 0.0, identical to the team. She is starting calls in a good place and keeping them there (60.1% steady, 34.5% improved), but the data flags zero calls as having a sustained improving arc — meaning she is not pulling cold or skeptical customers up over the course of a conversation as a distinct pattern. Her average handle time of 677 seconds (~11 minutes) is consistent with the consultative, multi-component bookings she's running.</w:t>
      </w:r>
    </w:p>
    <w:p>
      <w:r>
        <w:t>## Volume and mix</w:t>
      </w:r>
    </w:p>
    <w:p>
      <w:r>
        <w:t>9,482 analyzed calls is substantial tenure. The mix is healthy and revenue-weighted: 26.1% ready_to_book and 14.7% booked means roughly 41% of her volume is transactional/closing work, and another 14.1% is rebooking — also revenue-protective. Support sits at 24.9%, which is appropriate for a planner managing complex cruise itineraries (Viking and Viking River Cruises together account for 2,296 calls). Research is 16.1%, complaints just 1.2%, post-trip 0.7%. Inbound dominates 6,200 to 3,282, which is consistent with a planner customers seek out by name — reinforced by the Karen/Vince call ("I always go by what you recommend and I haven't been let down yet"). The mix is appropriate; she is not over-indexed on low-yield work.</w:t>
      </w:r>
    </w:p>
    <w:p>
      <w:r>
        <w:t>## Sentiment and trajectory</w:t>
      </w:r>
    </w:p>
    <w:p>
      <w:r>
        <w:t>She is managing the room well rather than transforming it. The best-example file shows customers arriving warm and staying warm — Karen opened ready to book her third Viking river cruise; Elizabeth committed to a $7,400 Emirates business class fare with "Wow, let's do it... sounds terrific." These are confirmations, not conversions from cold. Where she does move the room, it shows up in the high-objection set: Mary's support call started at -0.65 sentiment after "hours and hours and hours on the phone" with a prior agent, and Fia improved the trajectory while working through Turkish Airlines bulk-fare restrictions. Tim's post-trip debrief, full of Globus complaints, ended with an $8,000 payment toward an October cruise and pre-booking of a Western Rockies tour — also tagged improved. So the recovery skill exists; it's just not the dominant pattern across 9,482 calls.</w:t>
      </w:r>
    </w:p>
    <w:p>
      <w:r>
        <w:t>## Closing technique</w:t>
      </w:r>
    </w:p>
    <w:p>
      <w:r>
        <w:t>No signal. Every example in the payload — best, worst, and high-objection — has null closing_attempt, null close_outcome, empty close_language, and empty missed_signals arrays. We cannot evaluate her closing technique from this data. That said, the conversion proxy of 0.55 and the buying-signal density in the best examples (Karen authorizing the $25 deposit, Elizabeth handing over passport and TSA PreCheck unprompted) suggest closes are happening naturally inside warm inbound flow rather than through explicit closing language. Worth instrumenting separately.</w:t>
      </w:r>
    </w:p>
    <w:p>
      <w:r>
        <w:t>## Coaching priority: declining-trajectory researching calls</w:t>
      </w:r>
    </w:p>
    <w:p>
      <w:r>
        <w:t>The single development area is rescuing researching calls that tip negative on logistics. Mark's Regent South America call is the cleanest example — trajectory declined, sentiment dropped to 0.15, and his verbatim was: *"I don't know if this is what I really want given all these connections and flying to JFK and getting up in the middle of the night."* He had strong buying signals (detailed pricing breakdown, cabin quotes, pre-night hotel logistics) but the conversation was allowed to be dominated by airfare pain rather than reframed around the cruise product. Coaching focus: when a researching customer's objections cluster on travel-day friction, pivot back to the destination/experience anchor before the logistics spiral closes the call. This is the pattern most likely to be moving her improving-share to 0.0.</w:t>
      </w:r>
    </w:p>
    <w:p>
      <w:r>
        <w:t>## What to amplify: trust-based repeat-booking behavior</w:t>
      </w:r>
    </w:p>
    <w:p>
      <w:r>
        <w:t>Protect and scale the dynamic visible in the Karen/Vince calls: third Viking booking, two-day extensions on both ends, travel protection at ~$949/person, all on the strength of *"I always go by what you recommend and I haven't been let down yet. You are amazing."* This is full-basket selling driven by accumulated trust, and it's showing up at 0.95 sentiment. Her top destinations (Europe, Miami, London, Paris, Australia, Amsterdam, Japan, Egypt) and dominant Viking/Silversea/Tauck/Regent book of business are exactly the high-AOV, repeat-customer profile this behavior compounds on. Recommend formalizing her repeat-customer book and making sure she gets the inbound routing for any prior client calling back in.</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