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Donna Fontenot — Performance Report</w:t>
      </w:r>
    </w:p>
    <w:p>
      <w:r>
        <w:rPr>
          <w:i/>
        </w:rPr>
        <w:t>All time · 12119 analyzed calls · generated 2026-05-26 21:26</w:t>
      </w:r>
    </w:p>
    <w:p>
      <w:pPr>
        <w:pStyle w:val="Heading1"/>
      </w:pPr>
      <w:r>
        <w:t>Overview</w:t>
      </w:r>
    </w:p>
    <w:p>
      <w:r>
        <w:t>Donna Fontenot handled 12,119 analyzed calls from 2023-07-04 to 2026-05-22. Average customer sentiment was 0.47 (on a -1 to +1 scale), with an average call duration of 7 min 11 sec. Conversion proxy (booked + ready-to-book + rebooking ÷ total) is 51%, and the share of calls where the customer's mood improved during the call is 0%. Direction mix: inbound 4,286 / outbound 7,833.</w:t>
      </w:r>
    </w:p>
    <w:p>
      <w:r>
        <w:rPr>
          <w:b/>
        </w:rPr>
        <w:t xml:space="preserve">Top destinations handled: </w:t>
      </w:r>
      <w:r>
        <w:t>Paris (504), Miami (471), London (454), Europe (436), Barcelona (426), Alaska (405)</w:t>
      </w:r>
    </w:p>
    <w:p>
      <w:r>
        <w:rPr>
          <w:b/>
        </w:rPr>
        <w:t xml:space="preserve">Top cruise lines handled: </w:t>
      </w:r>
      <w:r>
        <w:t>Viking (1072), Oceania (571), Viking River Cruises (557), Silversea (476), Tauck (343), Regent (334)</w:t>
      </w:r>
    </w:p>
    <w:p>
      <w:pPr>
        <w:pStyle w:val="Heading1"/>
      </w:pPr>
      <w:r>
        <w:t>Calls by Intent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Intent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Support</w:t>
            </w:r>
          </w:p>
        </w:tc>
        <w:tc>
          <w:tcPr>
            <w:tcW w:type="dxa" w:w="2880"/>
          </w:tcPr>
          <w:p>
            <w:r>
              <w:t>3,056</w:t>
            </w:r>
          </w:p>
        </w:tc>
        <w:tc>
          <w:tcPr>
            <w:tcW w:type="dxa" w:w="2880"/>
          </w:tcPr>
          <w:p>
            <w:r>
              <w:t>25.2%</w:t>
            </w:r>
          </w:p>
        </w:tc>
      </w:tr>
      <w:tr>
        <w:tc>
          <w:tcPr>
            <w:tcW w:type="dxa" w:w="2880"/>
          </w:tcPr>
          <w:p>
            <w:r>
              <w:t>Ready to Book</w:t>
            </w:r>
          </w:p>
        </w:tc>
        <w:tc>
          <w:tcPr>
            <w:tcW w:type="dxa" w:w="2880"/>
          </w:tcPr>
          <w:p>
            <w:r>
              <w:t>2,591</w:t>
            </w:r>
          </w:p>
        </w:tc>
        <w:tc>
          <w:tcPr>
            <w:tcW w:type="dxa" w:w="2880"/>
          </w:tcPr>
          <w:p>
            <w:r>
              <w:t>21.4%</w:t>
            </w:r>
          </w:p>
        </w:tc>
      </w:tr>
      <w:tr>
        <w:tc>
          <w:tcPr>
            <w:tcW w:type="dxa" w:w="2880"/>
          </w:tcPr>
          <w:p>
            <w:r>
              <w:t>Rebooking</w:t>
            </w:r>
          </w:p>
        </w:tc>
        <w:tc>
          <w:tcPr>
            <w:tcW w:type="dxa" w:w="2880"/>
          </w:tcPr>
          <w:p>
            <w:r>
              <w:t>1,943</w:t>
            </w:r>
          </w:p>
        </w:tc>
        <w:tc>
          <w:tcPr>
            <w:tcW w:type="dxa" w:w="2880"/>
          </w:tcPr>
          <w:p>
            <w:r>
              <w:t>16.0%</w:t>
            </w:r>
          </w:p>
        </w:tc>
      </w:tr>
      <w:tr>
        <w:tc>
          <w:tcPr>
            <w:tcW w:type="dxa" w:w="2880"/>
          </w:tcPr>
          <w:p>
            <w:r>
              <w:t>Researching</w:t>
            </w:r>
          </w:p>
        </w:tc>
        <w:tc>
          <w:tcPr>
            <w:tcW w:type="dxa" w:w="2880"/>
          </w:tcPr>
          <w:p>
            <w:r>
              <w:t>1,936</w:t>
            </w:r>
          </w:p>
        </w:tc>
        <w:tc>
          <w:tcPr>
            <w:tcW w:type="dxa" w:w="2880"/>
          </w:tcPr>
          <w:p>
            <w:r>
              <w:t>16.0%</w:t>
            </w:r>
          </w:p>
        </w:tc>
      </w:tr>
      <w:tr>
        <w:tc>
          <w:tcPr>
            <w:tcW w:type="dxa" w:w="2880"/>
          </w:tcPr>
          <w:p>
            <w:r>
              <w:t>Booked</w:t>
            </w:r>
          </w:p>
        </w:tc>
        <w:tc>
          <w:tcPr>
            <w:tcW w:type="dxa" w:w="2880"/>
          </w:tcPr>
          <w:p>
            <w:r>
              <w:t>1,598</w:t>
            </w:r>
          </w:p>
        </w:tc>
        <w:tc>
          <w:tcPr>
            <w:tcW w:type="dxa" w:w="2880"/>
          </w:tcPr>
          <w:p>
            <w:r>
              <w:t>13.2%</w:t>
            </w:r>
          </w:p>
        </w:tc>
      </w:tr>
      <w:tr>
        <w:tc>
          <w:tcPr>
            <w:tcW w:type="dxa" w:w="2880"/>
          </w:tcPr>
          <w:p>
            <w:r>
              <w:t>Other</w:t>
            </w:r>
          </w:p>
        </w:tc>
        <w:tc>
          <w:tcPr>
            <w:tcW w:type="dxa" w:w="2880"/>
          </w:tcPr>
          <w:p>
            <w:r>
              <w:t>796</w:t>
            </w:r>
          </w:p>
        </w:tc>
        <w:tc>
          <w:tcPr>
            <w:tcW w:type="dxa" w:w="2880"/>
          </w:tcPr>
          <w:p>
            <w:r>
              <w:t>6.6%</w:t>
            </w:r>
          </w:p>
        </w:tc>
      </w:tr>
      <w:tr>
        <w:tc>
          <w:tcPr>
            <w:tcW w:type="dxa" w:w="2880"/>
          </w:tcPr>
          <w:p>
            <w:r>
              <w:t>Complaint</w:t>
            </w:r>
          </w:p>
        </w:tc>
        <w:tc>
          <w:tcPr>
            <w:tcW w:type="dxa" w:w="2880"/>
          </w:tcPr>
          <w:p>
            <w:r>
              <w:t>118</w:t>
            </w:r>
          </w:p>
        </w:tc>
        <w:tc>
          <w:tcPr>
            <w:tcW w:type="dxa" w:w="2880"/>
          </w:tcPr>
          <w:p>
            <w:r>
              <w:t>1.0%</w:t>
            </w:r>
          </w:p>
        </w:tc>
      </w:tr>
      <w:tr>
        <w:tc>
          <w:tcPr>
            <w:tcW w:type="dxa" w:w="2880"/>
          </w:tcPr>
          <w:p>
            <w:r>
              <w:t>Post-Trip</w:t>
            </w:r>
          </w:p>
        </w:tc>
        <w:tc>
          <w:tcPr>
            <w:tcW w:type="dxa" w:w="2880"/>
          </w:tcPr>
          <w:p>
            <w:r>
              <w:t>77</w:t>
            </w:r>
          </w:p>
        </w:tc>
        <w:tc>
          <w:tcPr>
            <w:tcW w:type="dxa" w:w="2880"/>
          </w:tcPr>
          <w:p>
            <w:r>
              <w:t>0.6%</w:t>
            </w:r>
          </w:p>
        </w:tc>
      </w:tr>
      <w:tr>
        <w:tc>
          <w:tcPr>
            <w:tcW w:type="dxa" w:w="2880"/>
          </w:tcPr>
          <w:p>
            <w:r>
              <w:t>referral</w:t>
            </w:r>
          </w:p>
        </w:tc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>
              <w:t>0.0%</w:t>
            </w:r>
          </w:p>
        </w:tc>
      </w:tr>
      <w:tr>
        <w:tc>
          <w:tcPr>
            <w:tcW w:type="dxa" w:w="2880"/>
          </w:tcPr>
          <w:p>
            <w:r>
              <w:t>comparison_shopping</w:t>
            </w:r>
          </w:p>
        </w:tc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0.0%</w:t>
            </w:r>
          </w:p>
        </w:tc>
      </w:tr>
      <w:tr>
        <w:tc>
          <w:tcPr>
            <w:tcW w:type="dxa" w:w="2880"/>
          </w:tcPr>
          <w:p>
            <w:r>
              <w:t>unknown</w:t>
            </w:r>
          </w:p>
        </w:tc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0.0%</w:t>
            </w:r>
          </w:p>
        </w:tc>
      </w:tr>
    </w:tbl>
    <w:p>
      <w:pPr>
        <w:pStyle w:val="Heading1"/>
      </w:pPr>
      <w:r>
        <w:t>Calls by Sentiment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Sentiment Label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Positive</w:t>
            </w:r>
          </w:p>
        </w:tc>
        <w:tc>
          <w:tcPr>
            <w:tcW w:type="dxa" w:w="2880"/>
          </w:tcPr>
          <w:p>
            <w:r>
              <w:t>7,844</w:t>
            </w:r>
          </w:p>
        </w:tc>
        <w:tc>
          <w:tcPr>
            <w:tcW w:type="dxa" w:w="2880"/>
          </w:tcPr>
          <w:p>
            <w:r>
              <w:t>64.7%</w:t>
            </w:r>
          </w:p>
        </w:tc>
      </w:tr>
      <w:tr>
        <w:tc>
          <w:tcPr>
            <w:tcW w:type="dxa" w:w="2880"/>
          </w:tcPr>
          <w:p>
            <w:r>
              <w:t>Neutral</w:t>
            </w:r>
          </w:p>
        </w:tc>
        <w:tc>
          <w:tcPr>
            <w:tcW w:type="dxa" w:w="2880"/>
          </w:tcPr>
          <w:p>
            <w:r>
              <w:t>2,929</w:t>
            </w:r>
          </w:p>
        </w:tc>
        <w:tc>
          <w:tcPr>
            <w:tcW w:type="dxa" w:w="2880"/>
          </w:tcPr>
          <w:p>
            <w:r>
              <w:t>24.2%</w:t>
            </w:r>
          </w:p>
        </w:tc>
      </w:tr>
      <w:tr>
        <w:tc>
          <w:tcPr>
            <w:tcW w:type="dxa" w:w="2880"/>
          </w:tcPr>
          <w:p>
            <w:r>
              <w:t>Negative</w:t>
            </w:r>
          </w:p>
        </w:tc>
        <w:tc>
          <w:tcPr>
            <w:tcW w:type="dxa" w:w="2880"/>
          </w:tcPr>
          <w:p>
            <w:r>
              <w:t>777</w:t>
            </w:r>
          </w:p>
        </w:tc>
        <w:tc>
          <w:tcPr>
            <w:tcW w:type="dxa" w:w="2880"/>
          </w:tcPr>
          <w:p>
            <w:r>
              <w:t>6.4%</w:t>
            </w:r>
          </w:p>
        </w:tc>
      </w:tr>
      <w:tr>
        <w:tc>
          <w:tcPr>
            <w:tcW w:type="dxa" w:w="2880"/>
          </w:tcPr>
          <w:p>
            <w:r>
              <w:t>Very Positive</w:t>
            </w:r>
          </w:p>
        </w:tc>
        <w:tc>
          <w:tcPr>
            <w:tcW w:type="dxa" w:w="2880"/>
          </w:tcPr>
          <w:p>
            <w:r>
              <w:t>523</w:t>
            </w:r>
          </w:p>
        </w:tc>
        <w:tc>
          <w:tcPr>
            <w:tcW w:type="dxa" w:w="2880"/>
          </w:tcPr>
          <w:p>
            <w:r>
              <w:t>4.3%</w:t>
            </w:r>
          </w:p>
        </w:tc>
      </w:tr>
      <w:tr>
        <w:tc>
          <w:tcPr>
            <w:tcW w:type="dxa" w:w="2880"/>
          </w:tcPr>
          <w:p>
            <w:r>
              <w:t>Very Negative</w:t>
            </w:r>
          </w:p>
        </w:tc>
        <w:tc>
          <w:tcPr>
            <w:tcW w:type="dxa" w:w="2880"/>
          </w:tcPr>
          <w:p>
            <w:r>
              <w:t>43</w:t>
            </w:r>
          </w:p>
        </w:tc>
        <w:tc>
          <w:tcPr>
            <w:tcW w:type="dxa" w:w="2880"/>
          </w:tcPr>
          <w:p>
            <w:r>
              <w:t>0.4%</w:t>
            </w:r>
          </w:p>
        </w:tc>
      </w:tr>
      <w:tr>
        <w:tc>
          <w:tcPr>
            <w:tcW w:type="dxa" w:w="2880"/>
          </w:tcPr>
          <w:p>
            <w:r>
              <w:t>mixed</w:t>
            </w:r>
          </w:p>
        </w:tc>
        <w:tc>
          <w:tcPr>
            <w:tcW w:type="dxa" w:w="2880"/>
          </w:tcPr>
          <w:p>
            <w:r>
              <w:t>3</w:t>
            </w:r>
          </w:p>
        </w:tc>
        <w:tc>
          <w:tcPr>
            <w:tcW w:type="dxa" w:w="2880"/>
          </w:tcPr>
          <w:p>
            <w:r>
              <w:t>0.0%</w:t>
            </w:r>
          </w:p>
        </w:tc>
      </w:tr>
    </w:tbl>
    <w:p>
      <w:r>
        <w:rPr>
          <w:b/>
        </w:rPr>
        <w:t xml:space="preserve">Numeric average sentiment: </w:t>
      </w:r>
      <w:r>
        <w:rPr>
          <w:i w:val="0"/>
        </w:rPr>
        <w:t xml:space="preserve">0.47    </w:t>
      </w:r>
      <w:r>
        <w:rPr>
          <w:i/>
        </w:rPr>
        <w:t>(team average: 0.39)</w:t>
      </w:r>
    </w:p>
    <w:p>
      <w:pPr>
        <w:pStyle w:val="Heading1"/>
      </w:pPr>
      <w:r>
        <w:t>Calls Trajectory</w:t>
      </w:r>
    </w:p>
    <w:p>
      <w:r>
        <w:t>Trajectory captures whether the customer's emotional state improved, declined, or held steady during each call. A high 'improving' share indicates the planner is moving customers toward a better state.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Trajectory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Steady</w:t>
            </w:r>
          </w:p>
        </w:tc>
        <w:tc>
          <w:tcPr>
            <w:tcW w:type="dxa" w:w="2880"/>
          </w:tcPr>
          <w:p>
            <w:r>
              <w:t>8,352</w:t>
            </w:r>
          </w:p>
        </w:tc>
        <w:tc>
          <w:tcPr>
            <w:tcW w:type="dxa" w:w="2880"/>
          </w:tcPr>
          <w:p>
            <w:r>
              <w:t>68.9%</w:t>
            </w:r>
          </w:p>
        </w:tc>
      </w:tr>
      <w:tr>
        <w:tc>
          <w:tcPr>
            <w:tcW w:type="dxa" w:w="2880"/>
          </w:tcPr>
          <w:p>
            <w:r>
              <w:t>Improving</w:t>
            </w:r>
          </w:p>
        </w:tc>
        <w:tc>
          <w:tcPr>
            <w:tcW w:type="dxa" w:w="2880"/>
          </w:tcPr>
          <w:p>
            <w:r>
              <w:t>3,131</w:t>
            </w:r>
          </w:p>
        </w:tc>
        <w:tc>
          <w:tcPr>
            <w:tcW w:type="dxa" w:w="2880"/>
          </w:tcPr>
          <w:p>
            <w:r>
              <w:t>25.8%</w:t>
            </w:r>
          </w:p>
        </w:tc>
      </w:tr>
      <w:tr>
        <w:tc>
          <w:tcPr>
            <w:tcW w:type="dxa" w:w="2880"/>
          </w:tcPr>
          <w:p>
            <w:r>
              <w:t>Declining</w:t>
            </w:r>
          </w:p>
        </w:tc>
        <w:tc>
          <w:tcPr>
            <w:tcW w:type="dxa" w:w="2880"/>
          </w:tcPr>
          <w:p>
            <w:r>
              <w:t>445</w:t>
            </w:r>
          </w:p>
        </w:tc>
        <w:tc>
          <w:tcPr>
            <w:tcW w:type="dxa" w:w="2880"/>
          </w:tcPr>
          <w:p>
            <w:r>
              <w:t>3.7%</w:t>
            </w:r>
          </w:p>
        </w:tc>
      </w:tr>
      <w:tr>
        <w:tc>
          <w:tcPr>
            <w:tcW w:type="dxa" w:w="2880"/>
          </w:tcPr>
          <w:p>
            <w:r>
              <w:t>Mixed</w:t>
            </w:r>
          </w:p>
        </w:tc>
        <w:tc>
          <w:tcPr>
            <w:tcW w:type="dxa" w:w="2880"/>
          </w:tcPr>
          <w:p>
            <w:r>
              <w:t>190</w:t>
            </w:r>
          </w:p>
        </w:tc>
        <w:tc>
          <w:tcPr>
            <w:tcW w:type="dxa" w:w="2880"/>
          </w:tcPr>
          <w:p>
            <w:r>
              <w:t>1.6%</w:t>
            </w:r>
          </w:p>
        </w:tc>
      </w:tr>
      <w:tr>
        <w:tc>
          <w:tcPr>
            <w:tcW w:type="dxa" w:w="2880"/>
          </w:tcPr>
          <w:p>
            <w:r>
              <w:t>slightly_improved</w:t>
            </w:r>
          </w:p>
        </w:tc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0.0%</w:t>
            </w:r>
          </w:p>
        </w:tc>
      </w:tr>
    </w:tbl>
    <w:p>
      <w:pPr>
        <w:pStyle w:val="Heading1"/>
      </w:pPr>
      <w:r>
        <w:t>What the numbers tell us</w:t>
      </w:r>
    </w:p>
    <w:p>
      <w:r>
        <w:t># What the numbers tell us — Donna Fontenot</w:t>
      </w:r>
    </w:p>
    <w:p>
      <w:r>
        <w:t>**Standing relative to the team.** Donna is operating well above team baseline on the two metrics that matter most. Her average sentiment of 0.47 beats the team's 0.39, and her conversion proxy of 0.51 is a meaningful step above the 0.35 team reference. Across 12,119 analyzed calls — a very large sample — 69.0% land positive or very positive (7,844 + 523), and only 6.8% land negative or very negative. The concern sits in trajectory: her improving-trajectory share rounds to 0.0 in the headline, though the underlying distribution shows 25.8% "improved" (3,131 calls) against 68.9% "steady." She is converting at a high rate, but most of her calls hold their emotional tone rather than climb.</w:t>
      </w:r>
    </w:p>
    <w:p>
      <w:r>
        <w:t>**Volume and mix.** The mix is broad and appropriate for a senior planner. Support is the single largest bucket at 25.2% (3,056), followed by ready_to_book at 21.4% (2,591), rebooking at 16.0% (1,943), and researching at 16.0% (1,936). Booked confirmations add another 13.2% (1,598). She is not cherry-picking closers — she carries a real support and rebooking load while still converting at 0.51. Outbound (7,833) outweighs inbound (4,286) roughly 1.8:1, consistent with a planner working an active book. Destination and cruise-line concentration (Viking 1,072; Oceania 571; Paris 504; Miami 471) suggests a repeat luxury and river/ocean cruise clientele, which is consistent with the appreciation calls below.</w:t>
      </w:r>
    </w:p>
    <w:p>
      <w:r>
        <w:t>**Sentiment and trajectory — moving the room vs. managing it.** Donna manages exceptionally well but moves the room less often than the conversion numbers would suggest. The 68.9% "steady" share means most calls start good and stay good — which is fine when the starting point is high, and hers clearly is. The clearest "moving" example is the May 2025 Linda call (researching, mobility-constrained husband, sentiment 0.60, trajectory improved): Donna walked her through Canada, Quebec, and alternate itineraries until Linda "narrowed focus back to Canada Quebec seven-day option" and "requested email address to receive itinerary details and pricing." Compare that to the three top-sentiment calls (all 0.95), which are inbound thank-you calls from Brandon at Osana Cruises — "I just wanted you to hear from me and tell you how much that means to us and how thankful I am" and "I looked and I'm like, holy I have to call her and that is amazing." Those are relationship dividends from prior work, not in-call elevation. The pattern: she builds loyalty that pays back later, more than she rescues calls in the moment.</w:t>
      </w:r>
    </w:p>
    <w:p>
      <w:r>
        <w:t>**Closing technique.** No signal. The closing_attempt, close_outcome, close_language, and missed_signals fields are null or empty across every supplied example — best, worst, and high-objection. We cannot evaluate her close mechanics from this payload. Given the 0.51 conversion proxy, the outcomes are there; the instrumentation is not capturing the language. Recommend tagging close attempts on a sample of her ready_to_book calls (2,591 available) before drawing conclusions.</w:t>
      </w:r>
    </w:p>
    <w:p>
      <w:r>
        <w:t>**Coaching priority — handling structured operational complaints.** The February 2024 Mary call is the one to work on. Sentiment landed at -0.55, trajectory steady (i.e., did not recover), on a support issue that was substantively the air department's failure, not Donna's. Mary's verbatim: *"They have direct twice to Rome twice a day from Dallas. I don't know why we're going on scan and avian."* The objections stack up — roundabout Dallas–Copenhagen–Rome routing, three-leg return through NYC, $1,665/person premium over a direct option Mary had already pre-shopped, and a missing April itinerary the air department never sent. The buying signals were all still live ("already booked room for April," "provided United mileage number," "actively problem-solving and staying engaged"). This was a recoverable call that stayed flat. Coaching focus: a structured playbook for inherited operational failures — acknowledge specifically, commit to a re-quote against the direct option the client has already found, and set a named follow-up time — so the trajectory ticks from steady-negative to improved.</w:t>
      </w:r>
    </w:p>
    <w:p>
      <w:r>
        <w:t>**What to amplify — the relationship engine on high-complexity bookings.** Protect and scale what produced the Brandon/Osana calls. A 244-day around-the-world booking generated an unsolicited inbound from a cruise-line partner: *"I looked and I'm like, holy I have to call her and that is amazing."* That is partner-channel goodwill that compounds — it brings inventory access, upgrades, and referral flow no script can manufacture. Her cruise-line concentration (Viking 1,072; Oceania 571; Silversea 476; Regent 334) indicates she is already the go-to for complex luxury and long-itinerary bookings. Feed her more of those, and use her as the internal reference for how to run a multi-segment world cruise file end-to-end.</w:t>
      </w:r>
    </w:p>
    <w:p/>
    <w:p>
      <w:r>
        <w:rPr>
          <w:i/>
          <w:color w:val="808080"/>
          <w:sz w:val="18"/>
        </w:rPr>
        <w:t>Internal leadership document. Source: Dialpad call transcripts analyzed by Claude. Conversion proxy is a transcript-derived signal, not a confirmed booking count.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