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Dianne Kincaid — Performance Report</w:t>
      </w:r>
    </w:p>
    <w:p>
      <w:r>
        <w:rPr>
          <w:i/>
        </w:rPr>
        <w:t>All time · 4441 analyzed calls · generated 2026-05-26 21:34</w:t>
      </w:r>
    </w:p>
    <w:p>
      <w:pPr>
        <w:pStyle w:val="Heading1"/>
      </w:pPr>
      <w:r>
        <w:t>Overview</w:t>
      </w:r>
    </w:p>
    <w:p>
      <w:r>
        <w:t>Dianne Kincaid handled 4,441 analyzed calls from 2023-07-03 to 2026-05-22. Average customer sentiment was 0.51 (on a -1 to +1 scale), with an average call duration of 9 min 21 sec. Conversion proxy (booked + ready-to-book + rebooking ÷ total) is 56%, and the share of calls where the customer's mood improved during the call is 0%. Direction mix: inbound 1,639 / outbound 2,802.</w:t>
      </w:r>
    </w:p>
    <w:p>
      <w:r>
        <w:rPr>
          <w:b/>
        </w:rPr>
        <w:t xml:space="preserve">Top destinations handled: </w:t>
      </w:r>
      <w:r>
        <w:t>Amsterdam (199), Europe (198), Paris (190), Miami (158), Alaska (155), Venice (138)</w:t>
      </w:r>
    </w:p>
    <w:p>
      <w:r>
        <w:rPr>
          <w:b/>
        </w:rPr>
        <w:t xml:space="preserve">Top cruise lines handled: </w:t>
      </w:r>
      <w:r>
        <w:t>Viking (677), Viking River Cruises (442), Globus (238), Regent (205), Uniworld (182), Silversea (181)</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1,170</w:t>
            </w:r>
          </w:p>
        </w:tc>
        <w:tc>
          <w:tcPr>
            <w:tcW w:type="dxa" w:w="2880"/>
          </w:tcPr>
          <w:p>
            <w:r>
              <w:t>26.3%</w:t>
            </w:r>
          </w:p>
        </w:tc>
      </w:tr>
      <w:tr>
        <w:tc>
          <w:tcPr>
            <w:tcW w:type="dxa" w:w="2880"/>
          </w:tcPr>
          <w:p>
            <w:r>
              <w:t>Support</w:t>
            </w:r>
          </w:p>
        </w:tc>
        <w:tc>
          <w:tcPr>
            <w:tcW w:type="dxa" w:w="2880"/>
          </w:tcPr>
          <w:p>
            <w:r>
              <w:t>850</w:t>
            </w:r>
          </w:p>
        </w:tc>
        <w:tc>
          <w:tcPr>
            <w:tcW w:type="dxa" w:w="2880"/>
          </w:tcPr>
          <w:p>
            <w:r>
              <w:t>19.1%</w:t>
            </w:r>
          </w:p>
        </w:tc>
      </w:tr>
      <w:tr>
        <w:tc>
          <w:tcPr>
            <w:tcW w:type="dxa" w:w="2880"/>
          </w:tcPr>
          <w:p>
            <w:r>
              <w:t>Rebooking</w:t>
            </w:r>
          </w:p>
        </w:tc>
        <w:tc>
          <w:tcPr>
            <w:tcW w:type="dxa" w:w="2880"/>
          </w:tcPr>
          <w:p>
            <w:r>
              <w:t>771</w:t>
            </w:r>
          </w:p>
        </w:tc>
        <w:tc>
          <w:tcPr>
            <w:tcW w:type="dxa" w:w="2880"/>
          </w:tcPr>
          <w:p>
            <w:r>
              <w:t>17.4%</w:t>
            </w:r>
          </w:p>
        </w:tc>
      </w:tr>
      <w:tr>
        <w:tc>
          <w:tcPr>
            <w:tcW w:type="dxa" w:w="2880"/>
          </w:tcPr>
          <w:p>
            <w:r>
              <w:t>Researching</w:t>
            </w:r>
          </w:p>
        </w:tc>
        <w:tc>
          <w:tcPr>
            <w:tcW w:type="dxa" w:w="2880"/>
          </w:tcPr>
          <w:p>
            <w:r>
              <w:t>766</w:t>
            </w:r>
          </w:p>
        </w:tc>
        <w:tc>
          <w:tcPr>
            <w:tcW w:type="dxa" w:w="2880"/>
          </w:tcPr>
          <w:p>
            <w:r>
              <w:t>17.2%</w:t>
            </w:r>
          </w:p>
        </w:tc>
      </w:tr>
      <w:tr>
        <w:tc>
          <w:tcPr>
            <w:tcW w:type="dxa" w:w="2880"/>
          </w:tcPr>
          <w:p>
            <w:r>
              <w:t>Booked</w:t>
            </w:r>
          </w:p>
        </w:tc>
        <w:tc>
          <w:tcPr>
            <w:tcW w:type="dxa" w:w="2880"/>
          </w:tcPr>
          <w:p>
            <w:r>
              <w:t>559</w:t>
            </w:r>
          </w:p>
        </w:tc>
        <w:tc>
          <w:tcPr>
            <w:tcW w:type="dxa" w:w="2880"/>
          </w:tcPr>
          <w:p>
            <w:r>
              <w:t>12.6%</w:t>
            </w:r>
          </w:p>
        </w:tc>
      </w:tr>
      <w:tr>
        <w:tc>
          <w:tcPr>
            <w:tcW w:type="dxa" w:w="2880"/>
          </w:tcPr>
          <w:p>
            <w:r>
              <w:t>Other</w:t>
            </w:r>
          </w:p>
        </w:tc>
        <w:tc>
          <w:tcPr>
            <w:tcW w:type="dxa" w:w="2880"/>
          </w:tcPr>
          <w:p>
            <w:r>
              <w:t>272</w:t>
            </w:r>
          </w:p>
        </w:tc>
        <w:tc>
          <w:tcPr>
            <w:tcW w:type="dxa" w:w="2880"/>
          </w:tcPr>
          <w:p>
            <w:r>
              <w:t>6.1%</w:t>
            </w:r>
          </w:p>
        </w:tc>
      </w:tr>
      <w:tr>
        <w:tc>
          <w:tcPr>
            <w:tcW w:type="dxa" w:w="2880"/>
          </w:tcPr>
          <w:p>
            <w:r>
              <w:t>Complaint</w:t>
            </w:r>
          </w:p>
        </w:tc>
        <w:tc>
          <w:tcPr>
            <w:tcW w:type="dxa" w:w="2880"/>
          </w:tcPr>
          <w:p>
            <w:r>
              <w:t>39</w:t>
            </w:r>
          </w:p>
        </w:tc>
        <w:tc>
          <w:tcPr>
            <w:tcW w:type="dxa" w:w="2880"/>
          </w:tcPr>
          <w:p>
            <w:r>
              <w:t>0.9%</w:t>
            </w:r>
          </w:p>
        </w:tc>
      </w:tr>
      <w:tr>
        <w:tc>
          <w:tcPr>
            <w:tcW w:type="dxa" w:w="2880"/>
          </w:tcPr>
          <w:p>
            <w:r>
              <w:t>Post-Trip</w:t>
            </w:r>
          </w:p>
        </w:tc>
        <w:tc>
          <w:tcPr>
            <w:tcW w:type="dxa" w:w="2880"/>
          </w:tcPr>
          <w:p>
            <w:r>
              <w:t>14</w:t>
            </w:r>
          </w:p>
        </w:tc>
        <w:tc>
          <w:tcPr>
            <w:tcW w:type="dxa" w:w="2880"/>
          </w:tcPr>
          <w:p>
            <w:r>
              <w:t>0.3%</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3,046</w:t>
            </w:r>
          </w:p>
        </w:tc>
        <w:tc>
          <w:tcPr>
            <w:tcW w:type="dxa" w:w="2880"/>
          </w:tcPr>
          <w:p>
            <w:r>
              <w:t>68.6%</w:t>
            </w:r>
          </w:p>
        </w:tc>
      </w:tr>
      <w:tr>
        <w:tc>
          <w:tcPr>
            <w:tcW w:type="dxa" w:w="2880"/>
          </w:tcPr>
          <w:p>
            <w:r>
              <w:t>Neutral</w:t>
            </w:r>
          </w:p>
        </w:tc>
        <w:tc>
          <w:tcPr>
            <w:tcW w:type="dxa" w:w="2880"/>
          </w:tcPr>
          <w:p>
            <w:r>
              <w:t>866</w:t>
            </w:r>
          </w:p>
        </w:tc>
        <w:tc>
          <w:tcPr>
            <w:tcW w:type="dxa" w:w="2880"/>
          </w:tcPr>
          <w:p>
            <w:r>
              <w:t>19.5%</w:t>
            </w:r>
          </w:p>
        </w:tc>
      </w:tr>
      <w:tr>
        <w:tc>
          <w:tcPr>
            <w:tcW w:type="dxa" w:w="2880"/>
          </w:tcPr>
          <w:p>
            <w:r>
              <w:t>Very Positive</w:t>
            </w:r>
          </w:p>
        </w:tc>
        <w:tc>
          <w:tcPr>
            <w:tcW w:type="dxa" w:w="2880"/>
          </w:tcPr>
          <w:p>
            <w:r>
              <w:t>279</w:t>
            </w:r>
          </w:p>
        </w:tc>
        <w:tc>
          <w:tcPr>
            <w:tcW w:type="dxa" w:w="2880"/>
          </w:tcPr>
          <w:p>
            <w:r>
              <w:t>6.3%</w:t>
            </w:r>
          </w:p>
        </w:tc>
      </w:tr>
      <w:tr>
        <w:tc>
          <w:tcPr>
            <w:tcW w:type="dxa" w:w="2880"/>
          </w:tcPr>
          <w:p>
            <w:r>
              <w:t>Negative</w:t>
            </w:r>
          </w:p>
        </w:tc>
        <w:tc>
          <w:tcPr>
            <w:tcW w:type="dxa" w:w="2880"/>
          </w:tcPr>
          <w:p>
            <w:r>
              <w:t>238</w:t>
            </w:r>
          </w:p>
        </w:tc>
        <w:tc>
          <w:tcPr>
            <w:tcW w:type="dxa" w:w="2880"/>
          </w:tcPr>
          <w:p>
            <w:r>
              <w:t>5.4%</w:t>
            </w:r>
          </w:p>
        </w:tc>
      </w:tr>
      <w:tr>
        <w:tc>
          <w:tcPr>
            <w:tcW w:type="dxa" w:w="2880"/>
          </w:tcPr>
          <w:p>
            <w:r>
              <w:t>Very Negative</w:t>
            </w:r>
          </w:p>
        </w:tc>
        <w:tc>
          <w:tcPr>
            <w:tcW w:type="dxa" w:w="2880"/>
          </w:tcPr>
          <w:p>
            <w:r>
              <w:t>12</w:t>
            </w:r>
          </w:p>
        </w:tc>
        <w:tc>
          <w:tcPr>
            <w:tcW w:type="dxa" w:w="2880"/>
          </w:tcPr>
          <w:p>
            <w:r>
              <w:t>0.3%</w:t>
            </w:r>
          </w:p>
        </w:tc>
      </w:tr>
    </w:tbl>
    <w:p>
      <w:r>
        <w:rPr>
          <w:b/>
        </w:rPr>
        <w:t xml:space="preserve">Numeric average sentiment: </w:t>
      </w:r>
      <w:r>
        <w:rPr>
          <w:i w:val="0"/>
        </w:rPr>
        <w:t xml:space="preserve">0.51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3,129</w:t>
            </w:r>
          </w:p>
        </w:tc>
        <w:tc>
          <w:tcPr>
            <w:tcW w:type="dxa" w:w="2880"/>
          </w:tcPr>
          <w:p>
            <w:r>
              <w:t>70.5%</w:t>
            </w:r>
          </w:p>
        </w:tc>
      </w:tr>
      <w:tr>
        <w:tc>
          <w:tcPr>
            <w:tcW w:type="dxa" w:w="2880"/>
          </w:tcPr>
          <w:p>
            <w:r>
              <w:t>Improving</w:t>
            </w:r>
          </w:p>
        </w:tc>
        <w:tc>
          <w:tcPr>
            <w:tcW w:type="dxa" w:w="2880"/>
          </w:tcPr>
          <w:p>
            <w:r>
              <w:t>1,196</w:t>
            </w:r>
          </w:p>
        </w:tc>
        <w:tc>
          <w:tcPr>
            <w:tcW w:type="dxa" w:w="2880"/>
          </w:tcPr>
          <w:p>
            <w:r>
              <w:t>26.9%</w:t>
            </w:r>
          </w:p>
        </w:tc>
      </w:tr>
      <w:tr>
        <w:tc>
          <w:tcPr>
            <w:tcW w:type="dxa" w:w="2880"/>
          </w:tcPr>
          <w:p>
            <w:r>
              <w:t>Declining</w:t>
            </w:r>
          </w:p>
        </w:tc>
        <w:tc>
          <w:tcPr>
            <w:tcW w:type="dxa" w:w="2880"/>
          </w:tcPr>
          <w:p>
            <w:r>
              <w:t>85</w:t>
            </w:r>
          </w:p>
        </w:tc>
        <w:tc>
          <w:tcPr>
            <w:tcW w:type="dxa" w:w="2880"/>
          </w:tcPr>
          <w:p>
            <w:r>
              <w:t>1.9%</w:t>
            </w:r>
          </w:p>
        </w:tc>
      </w:tr>
      <w:tr>
        <w:tc>
          <w:tcPr>
            <w:tcW w:type="dxa" w:w="2880"/>
          </w:tcPr>
          <w:p>
            <w:r>
              <w:t>Mixed</w:t>
            </w:r>
          </w:p>
        </w:tc>
        <w:tc>
          <w:tcPr>
            <w:tcW w:type="dxa" w:w="2880"/>
          </w:tcPr>
          <w:p>
            <w:r>
              <w:t>31</w:t>
            </w:r>
          </w:p>
        </w:tc>
        <w:tc>
          <w:tcPr>
            <w:tcW w:type="dxa" w:w="2880"/>
          </w:tcPr>
          <w:p>
            <w:r>
              <w:t>0.7%</w:t>
            </w:r>
          </w:p>
        </w:tc>
      </w:tr>
    </w:tbl>
    <w:p>
      <w:pPr>
        <w:pStyle w:val="Heading1"/>
      </w:pPr>
      <w:r>
        <w:t>What the numbers tell us</w:t>
      </w:r>
    </w:p>
    <w:p>
      <w:r>
        <w:t># What the numbers tell us — Dianne Kincaid</w:t>
      </w:r>
    </w:p>
    <w:p>
      <w:r>
        <w:t>## Where she stands</w:t>
      </w:r>
    </w:p>
    <w:p>
      <w:r>
        <w:t>Dianne is performing meaningfully above the team baseline on both headline metrics. Her average sentiment is 0.51 versus the team's 0.39, and her conversion proxy is 0.56 versus 0.35 — a 60% lift over team average on closing signal. Sentiment distribution backs this up: 74.9% of her calls land in positive or very positive territory, with only 5.7% negative or very negative. The concern sits in trajectory: her improving-trajectory share is 0.00, identical to the team. 70.5% of her calls are "steady" and 26.9% "improved," but the system isn't flagging her as a planner who consistently moves the room from cold to warm. She holds rooms that are already warm; she rarely turns them.</w:t>
      </w:r>
    </w:p>
    <w:p>
      <w:r>
        <w:t>## Volume and mix</w:t>
      </w:r>
    </w:p>
    <w:p>
      <w:r>
        <w:t>4,441 analyzed calls is substantial tenure volume. The mix is healthy and balanced across the funnel: 26.3% ready_to_book, 19.1% support, 17.4% rebooking, 17.2% researching, 12.6% booked. She is not siloed into one phase — she is closing (ready_to_book + booked = 38.9%), servicing existing bookings (support + rebooking = 36.5%), and developing new opportunities (researching = 17.2%) in roughly even thirds. Complaints sit at 0.9% and post_trip at 0.3%, which is appropriately low. Outbound calls (2,802) outnumber inbound (1,639) — she is proactive, not just reactive. Destination and line concentration (Viking 677, Viking River 442, Amsterdam, Paris, Venice, Alaska) tells us she has built river and premium-cruise expertise; she is the right person for Viking and Regent clients.</w:t>
      </w:r>
    </w:p>
    <w:p>
      <w:r>
        <w:t>## Sentiment and trajectory</w:t>
      </w:r>
    </w:p>
    <w:p>
      <w:r>
        <w:t>She manages rooms more than she moves them. The repeat verbatim "I'm very glad that Jane hooked us up with you because this has been a very, very good collaboration" from Anne, and Tom's "Oh, aren't you sweet? Thank you very much. You are the best, you really are. We're so lucky to have someone like you" — both score 0.9 sentiment but trajectory "steady." These are clients who walked in warm and stayed warm. Where she does turn a call, it shows: the Jim/Aggie Silversea-pressure call started at 0.35 and trajectory "improved" after she firmly denied the false claim that travel agencies cannot book Silversea. Isabel's Regent call ($42,894 charge authorized) also moved from skepticism to commitment — "Check one more time Diane. The first time is the charm maybe?" That's a planner earning trust under pricing pressure.</w:t>
      </w:r>
    </w:p>
    <w:p>
      <w:r>
        <w:t>## Closing technique</w:t>
      </w:r>
    </w:p>
    <w:p>
      <w:r>
        <w:t>No signal. Every example in the payload — best, worst, and high-objection — has `closing_attempt: null`, `close_outcome: null`, empty `close_language`, and empty `missed_signals`. We cannot evaluate her closing mechanics from this data. Given the 0.56 conversion proxy, the outcomes are there; the language pattern is invisible to us. Recommend instrumenting close-language capture on her calls specifically before drawing conclusions.</w:t>
      </w:r>
    </w:p>
    <w:p>
      <w:r>
        <w:t>## Coaching priority: responsiveness on existing bookings</w:t>
      </w:r>
    </w:p>
    <w:p>
      <w:r>
        <w:t>Her two worst calls — both -0.85 to -0.9 sentiment — are the same failure mode: clients who cannot reach her. Stewart, support intent: "I'm not happy with your service. I have no idea what's wrong with you... I need somebody who's more responsive." And: "I cannot confirm auto booking because of that. So in that case either you... change you, you're working at it too and be more responsive or you'd be have some issue." Kurt, complaint intent: "I called last week and here it is, what, five days later, six days later and I finally get a callback and to me that's [unacceptable]." Two separate clients, years apart, citing the same gap: days-long callback latency on in-flight bookings where money is at stake. With 850 support calls and 771 rebookings in her queue, this is the operational risk. Coach to a 24-hour callback SLA with explicit voicemail/email triage, and audit her support queue weekly for aging tickets.</w:t>
      </w:r>
    </w:p>
    <w:p>
      <w:r>
        <w:t>## What to amplify: composure under competitor pressure</w:t>
      </w:r>
    </w:p>
    <w:p>
      <w:r>
        <w:t>The Jim/Aggie call is the one to scale. A Silversea rep told the client travel agents cannot book Silversea and pushed for a same-night booking. Jim's read: "He want us to book it tonight. I said, no, I said we don't get pressure like a used car salesman." Dianne firmly denied the false claim, held the room, and the trajectory improved despite five separate pricing objections (fare up $300, airfare $1,500 to $2,300, Ama Waterways quote swinging $4,005 to $41,698, etc.). She turned a competitor-attack call into a Viking France-Burgundy hold for October 28–November 11. That is a teachable pattern — calm, factual rebuttal under direct competitive pressure — and worth capturing as a training artifact for the rest of the team, whose improving-share is also 0.00.</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