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Andrea Zacarias — Performance Report</w:t>
      </w:r>
    </w:p>
    <w:p>
      <w:r>
        <w:rPr>
          <w:i/>
        </w:rPr>
        <w:t>All time · 1592 analyzed calls · generated 2026-05-26 21:39</w:t>
      </w:r>
    </w:p>
    <w:p>
      <w:pPr>
        <w:pStyle w:val="Heading1"/>
      </w:pPr>
      <w:r>
        <w:t>Overview</w:t>
      </w:r>
    </w:p>
    <w:p>
      <w:r>
        <w:t>Andrea Zacarias handled 1,592 analyzed calls from 2025-07-18 to 2026-05-21. Average customer sentiment was 0.44 (on a -1 to +1 scale), with an average call duration of 7 min 32 sec. Conversion proxy (booked + ready-to-book + rebooking ÷ total) is 43%, and the share of calls where the customer's mood improved during the call is 0%. Direction mix: inbound 564 / outbound 1,028.</w:t>
      </w:r>
    </w:p>
    <w:p>
      <w:r>
        <w:rPr>
          <w:b/>
        </w:rPr>
        <w:t xml:space="preserve">Top destinations handled: </w:t>
      </w:r>
      <w:r>
        <w:t>Miami (82), Amsterdam (72), Alaska (61), Caribbean (55), Rome (40), Italy (39)</w:t>
      </w:r>
    </w:p>
    <w:p>
      <w:r>
        <w:rPr>
          <w:b/>
        </w:rPr>
        <w:t xml:space="preserve">Top cruise lines handled: </w:t>
      </w:r>
      <w:r>
        <w:t>Viking (231), Viking River Cruises (95), Globus (80), Tauck (76), Viking River Link (69), Royal Caribbean (67)</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Researching</w:t>
            </w:r>
          </w:p>
        </w:tc>
        <w:tc>
          <w:tcPr>
            <w:tcW w:type="dxa" w:w="2880"/>
          </w:tcPr>
          <w:p>
            <w:r>
              <w:t>465</w:t>
            </w:r>
          </w:p>
        </w:tc>
        <w:tc>
          <w:tcPr>
            <w:tcW w:type="dxa" w:w="2880"/>
          </w:tcPr>
          <w:p>
            <w:r>
              <w:t>29.2%</w:t>
            </w:r>
          </w:p>
        </w:tc>
      </w:tr>
      <w:tr>
        <w:tc>
          <w:tcPr>
            <w:tcW w:type="dxa" w:w="2880"/>
          </w:tcPr>
          <w:p>
            <w:r>
              <w:t>Ready to Book</w:t>
            </w:r>
          </w:p>
        </w:tc>
        <w:tc>
          <w:tcPr>
            <w:tcW w:type="dxa" w:w="2880"/>
          </w:tcPr>
          <w:p>
            <w:r>
              <w:t>367</w:t>
            </w:r>
          </w:p>
        </w:tc>
        <w:tc>
          <w:tcPr>
            <w:tcW w:type="dxa" w:w="2880"/>
          </w:tcPr>
          <w:p>
            <w:r>
              <w:t>23.1%</w:t>
            </w:r>
          </w:p>
        </w:tc>
      </w:tr>
      <w:tr>
        <w:tc>
          <w:tcPr>
            <w:tcW w:type="dxa" w:w="2880"/>
          </w:tcPr>
          <w:p>
            <w:r>
              <w:t>Support</w:t>
            </w:r>
          </w:p>
        </w:tc>
        <w:tc>
          <w:tcPr>
            <w:tcW w:type="dxa" w:w="2880"/>
          </w:tcPr>
          <w:p>
            <w:r>
              <w:t>246</w:t>
            </w:r>
          </w:p>
        </w:tc>
        <w:tc>
          <w:tcPr>
            <w:tcW w:type="dxa" w:w="2880"/>
          </w:tcPr>
          <w:p>
            <w:r>
              <w:t>15.5%</w:t>
            </w:r>
          </w:p>
        </w:tc>
      </w:tr>
      <w:tr>
        <w:tc>
          <w:tcPr>
            <w:tcW w:type="dxa" w:w="2880"/>
          </w:tcPr>
          <w:p>
            <w:r>
              <w:t>Other</w:t>
            </w:r>
          </w:p>
        </w:tc>
        <w:tc>
          <w:tcPr>
            <w:tcW w:type="dxa" w:w="2880"/>
          </w:tcPr>
          <w:p>
            <w:r>
              <w:t>176</w:t>
            </w:r>
          </w:p>
        </w:tc>
        <w:tc>
          <w:tcPr>
            <w:tcW w:type="dxa" w:w="2880"/>
          </w:tcPr>
          <w:p>
            <w:r>
              <w:t>11.1%</w:t>
            </w:r>
          </w:p>
        </w:tc>
      </w:tr>
      <w:tr>
        <w:tc>
          <w:tcPr>
            <w:tcW w:type="dxa" w:w="2880"/>
          </w:tcPr>
          <w:p>
            <w:r>
              <w:t>Booked</w:t>
            </w:r>
          </w:p>
        </w:tc>
        <w:tc>
          <w:tcPr>
            <w:tcW w:type="dxa" w:w="2880"/>
          </w:tcPr>
          <w:p>
            <w:r>
              <w:t>170</w:t>
            </w:r>
          </w:p>
        </w:tc>
        <w:tc>
          <w:tcPr>
            <w:tcW w:type="dxa" w:w="2880"/>
          </w:tcPr>
          <w:p>
            <w:r>
              <w:t>10.7%</w:t>
            </w:r>
          </w:p>
        </w:tc>
      </w:tr>
      <w:tr>
        <w:tc>
          <w:tcPr>
            <w:tcW w:type="dxa" w:w="2880"/>
          </w:tcPr>
          <w:p>
            <w:r>
              <w:t>Rebooking</w:t>
            </w:r>
          </w:p>
        </w:tc>
        <w:tc>
          <w:tcPr>
            <w:tcW w:type="dxa" w:w="2880"/>
          </w:tcPr>
          <w:p>
            <w:r>
              <w:t>152</w:t>
            </w:r>
          </w:p>
        </w:tc>
        <w:tc>
          <w:tcPr>
            <w:tcW w:type="dxa" w:w="2880"/>
          </w:tcPr>
          <w:p>
            <w:r>
              <w:t>9.5%</w:t>
            </w:r>
          </w:p>
        </w:tc>
      </w:tr>
      <w:tr>
        <w:tc>
          <w:tcPr>
            <w:tcW w:type="dxa" w:w="2880"/>
          </w:tcPr>
          <w:p>
            <w:r>
              <w:t>Complaint</w:t>
            </w:r>
          </w:p>
        </w:tc>
        <w:tc>
          <w:tcPr>
            <w:tcW w:type="dxa" w:w="2880"/>
          </w:tcPr>
          <w:p>
            <w:r>
              <w:t>15</w:t>
            </w:r>
          </w:p>
        </w:tc>
        <w:tc>
          <w:tcPr>
            <w:tcW w:type="dxa" w:w="2880"/>
          </w:tcPr>
          <w:p>
            <w:r>
              <w:t>0.9%</w:t>
            </w:r>
          </w:p>
        </w:tc>
      </w:tr>
      <w:tr>
        <w:tc>
          <w:tcPr>
            <w:tcW w:type="dxa" w:w="2880"/>
          </w:tcPr>
          <w:p>
            <w:r>
              <w:t>comparison-shopping</w:t>
            </w:r>
          </w:p>
        </w:tc>
        <w:tc>
          <w:tcPr>
            <w:tcW w:type="dxa" w:w="2880"/>
          </w:tcPr>
          <w:p>
            <w:r>
              <w:t>1</w:t>
            </w:r>
          </w:p>
        </w:tc>
        <w:tc>
          <w:tcPr>
            <w:tcW w:type="dxa" w:w="2880"/>
          </w:tcPr>
          <w:p>
            <w:r>
              <w:t>0.1%</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981</w:t>
            </w:r>
          </w:p>
        </w:tc>
        <w:tc>
          <w:tcPr>
            <w:tcW w:type="dxa" w:w="2880"/>
          </w:tcPr>
          <w:p>
            <w:r>
              <w:t>61.6%</w:t>
            </w:r>
          </w:p>
        </w:tc>
      </w:tr>
      <w:tr>
        <w:tc>
          <w:tcPr>
            <w:tcW w:type="dxa" w:w="2880"/>
          </w:tcPr>
          <w:p>
            <w:r>
              <w:t>Neutral</w:t>
            </w:r>
          </w:p>
        </w:tc>
        <w:tc>
          <w:tcPr>
            <w:tcW w:type="dxa" w:w="2880"/>
          </w:tcPr>
          <w:p>
            <w:r>
              <w:t>463</w:t>
            </w:r>
          </w:p>
        </w:tc>
        <w:tc>
          <w:tcPr>
            <w:tcW w:type="dxa" w:w="2880"/>
          </w:tcPr>
          <w:p>
            <w:r>
              <w:t>29.1%</w:t>
            </w:r>
          </w:p>
        </w:tc>
      </w:tr>
      <w:tr>
        <w:tc>
          <w:tcPr>
            <w:tcW w:type="dxa" w:w="2880"/>
          </w:tcPr>
          <w:p>
            <w:r>
              <w:t>Negative</w:t>
            </w:r>
          </w:p>
        </w:tc>
        <w:tc>
          <w:tcPr>
            <w:tcW w:type="dxa" w:w="2880"/>
          </w:tcPr>
          <w:p>
            <w:r>
              <w:t>85</w:t>
            </w:r>
          </w:p>
        </w:tc>
        <w:tc>
          <w:tcPr>
            <w:tcW w:type="dxa" w:w="2880"/>
          </w:tcPr>
          <w:p>
            <w:r>
              <w:t>5.3%</w:t>
            </w:r>
          </w:p>
        </w:tc>
      </w:tr>
      <w:tr>
        <w:tc>
          <w:tcPr>
            <w:tcW w:type="dxa" w:w="2880"/>
          </w:tcPr>
          <w:p>
            <w:r>
              <w:t>Very Positive</w:t>
            </w:r>
          </w:p>
        </w:tc>
        <w:tc>
          <w:tcPr>
            <w:tcW w:type="dxa" w:w="2880"/>
          </w:tcPr>
          <w:p>
            <w:r>
              <w:t>54</w:t>
            </w:r>
          </w:p>
        </w:tc>
        <w:tc>
          <w:tcPr>
            <w:tcW w:type="dxa" w:w="2880"/>
          </w:tcPr>
          <w:p>
            <w:r>
              <w:t>3.4%</w:t>
            </w:r>
          </w:p>
        </w:tc>
      </w:tr>
      <w:tr>
        <w:tc>
          <w:tcPr>
            <w:tcW w:type="dxa" w:w="2880"/>
          </w:tcPr>
          <w:p>
            <w:r>
              <w:t>Very Negative</w:t>
            </w:r>
          </w:p>
        </w:tc>
        <w:tc>
          <w:tcPr>
            <w:tcW w:type="dxa" w:w="2880"/>
          </w:tcPr>
          <w:p>
            <w:r>
              <w:t>9</w:t>
            </w:r>
          </w:p>
        </w:tc>
        <w:tc>
          <w:tcPr>
            <w:tcW w:type="dxa" w:w="2880"/>
          </w:tcPr>
          <w:p>
            <w:r>
              <w:t>0.6%</w:t>
            </w:r>
          </w:p>
        </w:tc>
      </w:tr>
    </w:tbl>
    <w:p>
      <w:r>
        <w:rPr>
          <w:b/>
        </w:rPr>
        <w:t xml:space="preserve">Numeric average sentiment: </w:t>
      </w:r>
      <w:r>
        <w:rPr>
          <w:i w:val="0"/>
        </w:rPr>
        <w:t xml:space="preserve">0.44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1,160</w:t>
            </w:r>
          </w:p>
        </w:tc>
        <w:tc>
          <w:tcPr>
            <w:tcW w:type="dxa" w:w="2880"/>
          </w:tcPr>
          <w:p>
            <w:r>
              <w:t>72.9%</w:t>
            </w:r>
          </w:p>
        </w:tc>
      </w:tr>
      <w:tr>
        <w:tc>
          <w:tcPr>
            <w:tcW w:type="dxa" w:w="2880"/>
          </w:tcPr>
          <w:p>
            <w:r>
              <w:t>Improving</w:t>
            </w:r>
          </w:p>
        </w:tc>
        <w:tc>
          <w:tcPr>
            <w:tcW w:type="dxa" w:w="2880"/>
          </w:tcPr>
          <w:p>
            <w:r>
              <w:t>331</w:t>
            </w:r>
          </w:p>
        </w:tc>
        <w:tc>
          <w:tcPr>
            <w:tcW w:type="dxa" w:w="2880"/>
          </w:tcPr>
          <w:p>
            <w:r>
              <w:t>20.8%</w:t>
            </w:r>
          </w:p>
        </w:tc>
      </w:tr>
      <w:tr>
        <w:tc>
          <w:tcPr>
            <w:tcW w:type="dxa" w:w="2880"/>
          </w:tcPr>
          <w:p>
            <w:r>
              <w:t>Declining</w:t>
            </w:r>
          </w:p>
        </w:tc>
        <w:tc>
          <w:tcPr>
            <w:tcW w:type="dxa" w:w="2880"/>
          </w:tcPr>
          <w:p>
            <w:r>
              <w:t>88</w:t>
            </w:r>
          </w:p>
        </w:tc>
        <w:tc>
          <w:tcPr>
            <w:tcW w:type="dxa" w:w="2880"/>
          </w:tcPr>
          <w:p>
            <w:r>
              <w:t>5.5%</w:t>
            </w:r>
          </w:p>
        </w:tc>
      </w:tr>
      <w:tr>
        <w:tc>
          <w:tcPr>
            <w:tcW w:type="dxa" w:w="2880"/>
          </w:tcPr>
          <w:p>
            <w:r>
              <w:t>Mixed</w:t>
            </w:r>
          </w:p>
        </w:tc>
        <w:tc>
          <w:tcPr>
            <w:tcW w:type="dxa" w:w="2880"/>
          </w:tcPr>
          <w:p>
            <w:r>
              <w:t>13</w:t>
            </w:r>
          </w:p>
        </w:tc>
        <w:tc>
          <w:tcPr>
            <w:tcW w:type="dxa" w:w="2880"/>
          </w:tcPr>
          <w:p>
            <w:r>
              <w:t>0.8%</w:t>
            </w:r>
          </w:p>
        </w:tc>
      </w:tr>
    </w:tbl>
    <w:p>
      <w:pPr>
        <w:pStyle w:val="Heading1"/>
      </w:pPr>
      <w:r>
        <w:t>What the numbers tell us</w:t>
      </w:r>
    </w:p>
    <w:p>
      <w:r>
        <w:t># What the numbers tell us — Andrea Zacarias</w:t>
      </w:r>
    </w:p>
    <w:p>
      <w:r>
        <w:t>**Standing relative to the team.** Andrea is above team benchmarks on both quality and outcome metrics. Her average sentiment of 0.44 beats the team's 0.39, and her conversion proxy of 0.43 sits well above the 0.35 team average — an eight-point edge on the metric that matters most. Sixty-five percent of her calls land in positive or very-positive territory (61.6% + 3.4%), with only 5.9% negative or very-negative. The concern: her improving-trajectory share is 0.0% (the team is also at 0.00, so this is a system-wide issue, not Andrea-specific), and 72.9% of her calls are coded "steady." She converts at a high rate, but she isn't visibly turning rooms around — she's catching them where they land.</w:t>
      </w:r>
    </w:p>
    <w:p>
      <w:r>
        <w:t>**Volume and mix.** 1,592 analyzed calls is substantial volume. The mix is healthy and weighted toward revenue activity: 23.1% ready_to_book and 10.7% booked means roughly a third of her book is at or past the decision point, with another 29.2% in research (top-of-funnel feeder). Support is 15.5% and rebooking 9.5% — meaningful service load but not crowding out sales. Complaints are negligible at 0.9%. Outbound (1,028) nearly doubles inbound (564), so she's driving activity, not just catching it. Destination and line mix is Viking-heavy (231 Viking + 95 Viking River + 69 Viking River Link = 395 calls, roughly a quarter of her book), with Miami, Amsterdam, and Alaska anchoring geography. This is a closer's mix with a sustainable research pipeline behind it.</w:t>
      </w:r>
    </w:p>
    <w:p>
      <w:r>
        <w:t>**Sentiment and trajectory.** She manages the room well but rarely transforms it. 72.9% steady vs. 20.8% improved tells the story: when calls start positive, she keeps them positive — see Trisha's Viking biking deposit ("Can we put more down today? I'm assuming that's a yes.") and Sonny's Explora booking ("I'm very happy with what you came up with. It sounds terrific."). When she does move the room, she moves it well — the April 18 Italian Sojourn call started with five stated objections (broken email link, unclear ship, pricing confusion) and ended with the customer requesting a 72-hour courtesy hold on deluxe veranda rooms, trajectory coded "improved." But she has two declined-trajectory complaint/research calls in the worst examples, and in both she absorbed the friction rather than resolving it.</w:t>
      </w:r>
    </w:p>
    <w:p>
      <w:r>
        <w:t>**Closing technique.** No signal. Every example in the payload — best, worst, and high-objection — has `closing_attempt: null`, `close_outcome: null`, and empty `close_language` and `missed_signals` arrays. We cannot evaluate her close mechanics from this data. Given her 0.43 conversion proxy, closes are happening; they just aren't being captured. This is a data instrumentation gap worth flagging to ops before drawing conclusions about her technique.</w:t>
      </w:r>
    </w:p>
    <w:p>
      <w:r>
        <w:t>**Coaching priority: handling advertised-price discrepancies and policy-driven price changes.** Two of her three worst calls (Alan's Viking $1,000/person jump, Jeffrey Belkin's Danube mailer at $3,495 vs. actual $7,745) involve a customer hitting a pricing surprise that Andrea did not get ahead of. Jeffrey's exit line — *"So, unfortunately, doesn't sound like you've got what you're offering on that. Well not what you're offering, what your company has put out as an advertisement for this trip which is sad."* — is a customer walking away with brand damage intact. Alan's *"you go to sign and bingo it's $1,000 more. That's not right, can't be right."* is the same pattern: the policy (January pricing reverts when hold is removed) existed, but the customer learned it at signing. Coach her to proactively disclose price-volatility terms at the hold stage and to have a pre-built recovery script for mailer-vs-inventory gaps. Both calls ended steady-negative or declined; neither needed to.</w:t>
      </w:r>
    </w:p>
    <w:p>
      <w:r>
        <w:t>**What to amplify: her ready-to-book execution on warm inbound and returning customers.** The Trisha and Sonny calls are textbook — she moves from invoice review to deposit captured without friction, and customers volunteer to put *more* money down ("Can we put more down today?"). The April 18 Italian Sojourn save, where a returning customer opened with *"I traveled with you earlier in the year on a cruise and I wanted to talk to you about this"* and exited with an upgrade to deluxe veranda plus a 72-hour hold, shows she can absorb five objections and still upgrade the sale. Protect this: keep returning-customer and ready_to_book inbound flow weighted toward her, and consider having her record a short internal walkthrough of how she handles the invoice-to-deposit transition for the rest of the team.</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